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DAD7D7" w14:textId="77777777" w:rsidR="002852F7" w:rsidRDefault="00000000">
      <w:pPr>
        <w:spacing w:after="1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ISSN: 1678-7145 | E-ISSN: 2318-4558</w:t>
      </w:r>
    </w:p>
    <w:p w14:paraId="019743CD" w14:textId="77777777" w:rsidR="002852F7" w:rsidRDefault="00000000">
      <w:pPr>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Seção Artigos</w:t>
      </w:r>
    </w:p>
    <w:p w14:paraId="2310CA25" w14:textId="77777777" w:rsidR="002852F7" w:rsidRDefault="00000000">
      <w:pPr>
        <w:spacing w:after="1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Volume 26, Número 2, agosto de 2024</w:t>
      </w:r>
    </w:p>
    <w:p w14:paraId="5627A989" w14:textId="77777777" w:rsidR="002852F7" w:rsidRDefault="00000000">
      <w:pPr>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Submetido em: 20/02/2024</w:t>
      </w:r>
    </w:p>
    <w:p w14:paraId="4A9FC5AC" w14:textId="77777777" w:rsidR="002852F7" w:rsidRDefault="00000000">
      <w:pPr>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Aprovado em: 25/07/2024</w:t>
      </w:r>
    </w:p>
    <w:p w14:paraId="6E6F31FF" w14:textId="77777777" w:rsidR="002852F7" w:rsidRDefault="002852F7">
      <w:pPr>
        <w:rPr>
          <w:rFonts w:ascii="Georgia" w:eastAsia="Georgia" w:hAnsi="Georgia" w:cs="Georgia"/>
          <w:sz w:val="40"/>
          <w:szCs w:val="40"/>
        </w:rPr>
      </w:pPr>
    </w:p>
    <w:p w14:paraId="3ADDEDA9" w14:textId="77777777" w:rsidR="002852F7" w:rsidRDefault="00000000">
      <w:pPr>
        <w:jc w:val="both"/>
        <w:rPr>
          <w:rFonts w:ascii="Times New Roman" w:eastAsia="Times New Roman" w:hAnsi="Times New Roman" w:cs="Times New Roman"/>
          <w:b/>
          <w:sz w:val="36"/>
          <w:szCs w:val="36"/>
        </w:rPr>
      </w:pPr>
      <w:r>
        <w:rPr>
          <w:rFonts w:ascii="Times New Roman" w:eastAsia="Times New Roman" w:hAnsi="Times New Roman" w:cs="Times New Roman"/>
          <w:b/>
          <w:sz w:val="36"/>
          <w:szCs w:val="36"/>
        </w:rPr>
        <w:t>A PERSPECTIVA DO DIREITO COMPARADO NO BRASIL</w:t>
      </w:r>
      <w:r>
        <w:rPr>
          <w:rFonts w:ascii="Times New Roman" w:eastAsia="Times New Roman" w:hAnsi="Times New Roman" w:cs="Times New Roman"/>
          <w:sz w:val="36"/>
          <w:szCs w:val="36"/>
        </w:rPr>
        <w:t xml:space="preserve"> </w:t>
      </w:r>
      <w:r>
        <w:rPr>
          <w:rFonts w:ascii="Times New Roman" w:eastAsia="Times New Roman" w:hAnsi="Times New Roman" w:cs="Times New Roman"/>
          <w:b/>
          <w:sz w:val="36"/>
          <w:szCs w:val="36"/>
        </w:rPr>
        <w:t>– COLÔMBIA COMO CONTRIBUIÇÃO PARA O DEBATE SOBRE O DIREITO INDIGENISTA NO BRASIL</w:t>
      </w:r>
    </w:p>
    <w:p w14:paraId="6EF34721" w14:textId="77777777" w:rsidR="002852F7" w:rsidRDefault="002852F7">
      <w:pPr>
        <w:rPr>
          <w:rFonts w:ascii="Georgia" w:eastAsia="Georgia" w:hAnsi="Georgia" w:cs="Georgia"/>
        </w:rPr>
      </w:pPr>
    </w:p>
    <w:p w14:paraId="05FCBBEC" w14:textId="77777777" w:rsidR="002852F7" w:rsidRDefault="00000000">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THE PERSPECTIVE OF COMPARATIVE LAW BRAZIL – COLOMBIA AS A CONTRIBUTION TO THE DEBATE ON INDIGENOUS LAW IN BRAZIL </w:t>
      </w:r>
    </w:p>
    <w:p w14:paraId="4BC1F4D2" w14:textId="77777777" w:rsidR="002852F7" w:rsidRDefault="00000000">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p>
    <w:p w14:paraId="47C9B5E4" w14:textId="77777777" w:rsidR="002852F7" w:rsidRDefault="002852F7">
      <w:pPr>
        <w:rPr>
          <w:rFonts w:ascii="Times New Roman" w:eastAsia="Times New Roman" w:hAnsi="Times New Roman" w:cs="Times New Roman"/>
          <w:i/>
          <w:sz w:val="28"/>
          <w:szCs w:val="28"/>
        </w:rPr>
      </w:pPr>
    </w:p>
    <w:p w14:paraId="2053CDE9" w14:textId="77777777" w:rsidR="002852F7" w:rsidRDefault="00000000">
      <w:pPr>
        <w:jc w:val="right"/>
        <w:rPr>
          <w:rFonts w:ascii="Times New Roman" w:eastAsia="Times New Roman" w:hAnsi="Times New Roman" w:cs="Times New Roman"/>
        </w:rPr>
      </w:pPr>
      <w:r>
        <w:rPr>
          <w:rFonts w:ascii="Times New Roman" w:eastAsia="Times New Roman" w:hAnsi="Times New Roman" w:cs="Times New Roman"/>
        </w:rPr>
        <w:t>Carlos Eduardo FAMADAS</w:t>
      </w:r>
      <w:r>
        <w:rPr>
          <w:rFonts w:ascii="Times New Roman" w:eastAsia="Times New Roman" w:hAnsi="Times New Roman" w:cs="Times New Roman"/>
          <w:vertAlign w:val="superscript"/>
        </w:rPr>
        <w:footnoteReference w:id="1"/>
      </w:r>
    </w:p>
    <w:p w14:paraId="4A0F3491" w14:textId="77777777" w:rsidR="002852F7" w:rsidRDefault="00000000">
      <w:pPr>
        <w:jc w:val="right"/>
        <w:rPr>
          <w:rFonts w:ascii="Times New Roman" w:eastAsia="Times New Roman" w:hAnsi="Times New Roman" w:cs="Times New Roman"/>
        </w:rPr>
      </w:pPr>
      <w:r>
        <w:rPr>
          <w:rFonts w:ascii="Times New Roman" w:eastAsia="Times New Roman" w:hAnsi="Times New Roman" w:cs="Times New Roman"/>
          <w:color w:val="000000"/>
        </w:rPr>
        <w:t>Pontifícia Universidade Católica do Rio de Janeiro (PUC-Rio)</w:t>
      </w:r>
    </w:p>
    <w:p w14:paraId="44607F1C" w14:textId="77777777" w:rsidR="002852F7" w:rsidRDefault="002852F7">
      <w:pPr>
        <w:jc w:val="right"/>
        <w:rPr>
          <w:rFonts w:ascii="Times New Roman" w:eastAsia="Times New Roman" w:hAnsi="Times New Roman" w:cs="Times New Roman"/>
          <w:i/>
          <w:sz w:val="28"/>
          <w:szCs w:val="28"/>
        </w:rPr>
      </w:pPr>
    </w:p>
    <w:p w14:paraId="44F9263F" w14:textId="77777777" w:rsidR="002852F7" w:rsidRDefault="00000000">
      <w:pPr>
        <w:jc w:val="right"/>
        <w:rPr>
          <w:rFonts w:ascii="Times New Roman" w:eastAsia="Times New Roman" w:hAnsi="Times New Roman" w:cs="Times New Roman"/>
          <w:i/>
          <w:sz w:val="28"/>
          <w:szCs w:val="28"/>
        </w:rPr>
      </w:pPr>
      <w:r>
        <w:rPr>
          <w:rFonts w:ascii="Times New Roman" w:eastAsia="Times New Roman" w:hAnsi="Times New Roman" w:cs="Times New Roman"/>
        </w:rPr>
        <w:t>Fabianne MANHÃES</w:t>
      </w:r>
      <w:r>
        <w:rPr>
          <w:rFonts w:ascii="Times New Roman" w:eastAsia="Times New Roman" w:hAnsi="Times New Roman" w:cs="Times New Roman"/>
          <w:vertAlign w:val="superscript"/>
        </w:rPr>
        <w:footnoteReference w:id="2"/>
      </w:r>
    </w:p>
    <w:p w14:paraId="253D06E5" w14:textId="77777777" w:rsidR="002852F7" w:rsidRDefault="00000000">
      <w:pPr>
        <w:jc w:val="right"/>
        <w:rPr>
          <w:rFonts w:ascii="Times New Roman" w:eastAsia="Times New Roman" w:hAnsi="Times New Roman" w:cs="Times New Roman"/>
          <w:i/>
          <w:sz w:val="28"/>
          <w:szCs w:val="28"/>
        </w:rPr>
      </w:pPr>
      <w:r>
        <w:rPr>
          <w:rFonts w:ascii="Times New Roman" w:eastAsia="Times New Roman" w:hAnsi="Times New Roman" w:cs="Times New Roman"/>
        </w:rPr>
        <w:t xml:space="preserve">Universidade Federal Fluminense (UFF) </w:t>
      </w:r>
    </w:p>
    <w:p w14:paraId="313E4806" w14:textId="77777777" w:rsidR="002852F7" w:rsidRDefault="002852F7">
      <w:pPr>
        <w:rPr>
          <w:rFonts w:ascii="Times New Roman" w:eastAsia="Times New Roman" w:hAnsi="Times New Roman" w:cs="Times New Roman"/>
        </w:rPr>
      </w:pPr>
    </w:p>
    <w:p w14:paraId="3D5DD6F0" w14:textId="77777777" w:rsidR="002852F7" w:rsidRDefault="002852F7">
      <w:pPr>
        <w:rPr>
          <w:rFonts w:ascii="Georgia" w:eastAsia="Georgia" w:hAnsi="Georgia" w:cs="Georgia"/>
          <w:b/>
          <w:sz w:val="22"/>
          <w:szCs w:val="22"/>
        </w:rPr>
      </w:pPr>
    </w:p>
    <w:p w14:paraId="540B76F9" w14:textId="77777777" w:rsidR="002852F7" w:rsidRDefault="00000000">
      <w:pPr>
        <w:spacing w:after="120"/>
        <w:rPr>
          <w:rFonts w:ascii="Times New Roman" w:eastAsia="Times New Roman" w:hAnsi="Times New Roman" w:cs="Times New Roman"/>
          <w:b/>
        </w:rPr>
      </w:pPr>
      <w:r>
        <w:rPr>
          <w:rFonts w:ascii="Times New Roman" w:eastAsia="Times New Roman" w:hAnsi="Times New Roman" w:cs="Times New Roman"/>
          <w:b/>
        </w:rPr>
        <w:t xml:space="preserve">Resumo </w:t>
      </w:r>
    </w:p>
    <w:p w14:paraId="56E01ABA" w14:textId="77777777" w:rsidR="002852F7" w:rsidRDefault="00000000">
      <w:pPr>
        <w:pBdr>
          <w:top w:val="nil"/>
          <w:left w:val="nil"/>
          <w:bottom w:val="nil"/>
          <w:right w:val="nil"/>
          <w:between w:val="nil"/>
        </w:pBdr>
        <w:spacing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rPr>
        <w:t xml:space="preserve">Analisa-se de maneira comparada nesse artigo o Direito Indigenista no Brasil e na Colômbia. A história do Direito Indigenista em ambos os países foi confrontada desde a colonização europeia até a promulgação das Constituições Cidadã no Brasil e Política na Colômbia. Analisa-se especificamente os processos constituintes e a atual legislação indigenista de cada país. Conclui-se a análise com a observação do contexto e da atuação das cortes constitucionais de ambos os países sobre o Direito Indigenista. Trata-se de uma pesquisa empírica, realizada mediante as metodologias: exploratória e qualitativa-quantitativa sobre os dados coletados; de pesquisa bibliográfica direta e indireta de fontes multidisciplinares sobre o tema; e de etnografia documental sobre os instrumentos normativos analisados. </w:t>
      </w:r>
      <w:r>
        <w:rPr>
          <w:rFonts w:ascii="Times New Roman" w:eastAsia="Times New Roman" w:hAnsi="Times New Roman" w:cs="Times New Roman"/>
          <w:color w:val="000000"/>
          <w:highlight w:val="white"/>
        </w:rPr>
        <w:t>Em cada etapa, a análise foi realizada sob os espectros jurídico, histórico e político de maneira que se possa alcançar uma perspectiva contextualizada sobre o tema. Objetiva-se analisar, dialógica e criticamente, os contextos do Direito Indigenista no Brasil e na Colômbia, confrontando-os a fim de encontrar</w:t>
      </w:r>
      <w:r>
        <w:rPr>
          <w:rFonts w:ascii="Times New Roman" w:eastAsia="Times New Roman" w:hAnsi="Times New Roman" w:cs="Times New Roman"/>
          <w:color w:val="000000"/>
        </w:rPr>
        <w:t xml:space="preserve"> similaridades e singularidades que possam contribuir para o avanço do Direito Indigenista no Brasil.</w:t>
      </w:r>
    </w:p>
    <w:p w14:paraId="6E6E3D77" w14:textId="77777777" w:rsidR="002852F7" w:rsidRDefault="00000000">
      <w:pPr>
        <w:spacing w:after="120"/>
        <w:rPr>
          <w:rFonts w:ascii="Times New Roman" w:eastAsia="Times New Roman" w:hAnsi="Times New Roman" w:cs="Times New Roman"/>
        </w:rPr>
      </w:pPr>
      <w:r>
        <w:rPr>
          <w:rFonts w:ascii="Times New Roman" w:eastAsia="Times New Roman" w:hAnsi="Times New Roman" w:cs="Times New Roman"/>
          <w:b/>
        </w:rPr>
        <w:t>Palavras-chave</w:t>
      </w:r>
      <w:r>
        <w:rPr>
          <w:rFonts w:ascii="Times New Roman" w:eastAsia="Times New Roman" w:hAnsi="Times New Roman" w:cs="Times New Roman"/>
        </w:rPr>
        <w:t>: direito Indigenista; direito comparado; povos indígenas.</w:t>
      </w:r>
    </w:p>
    <w:p w14:paraId="1638EDA7" w14:textId="77777777" w:rsidR="002852F7" w:rsidRDefault="002852F7">
      <w:pPr>
        <w:spacing w:after="120"/>
        <w:rPr>
          <w:rFonts w:ascii="Times New Roman" w:eastAsia="Times New Roman" w:hAnsi="Times New Roman" w:cs="Times New Roman"/>
        </w:rPr>
      </w:pPr>
    </w:p>
    <w:p w14:paraId="2101D70B" w14:textId="77777777" w:rsidR="002852F7" w:rsidRDefault="00000000">
      <w:pPr>
        <w:spacing w:after="120"/>
        <w:rPr>
          <w:rFonts w:ascii="Times New Roman" w:eastAsia="Times New Roman" w:hAnsi="Times New Roman" w:cs="Times New Roman"/>
          <w:b/>
        </w:rPr>
      </w:pPr>
      <w:r>
        <w:rPr>
          <w:rFonts w:ascii="Times New Roman" w:eastAsia="Times New Roman" w:hAnsi="Times New Roman" w:cs="Times New Roman"/>
          <w:b/>
        </w:rPr>
        <w:t>Abstract</w:t>
      </w:r>
    </w:p>
    <w:p w14:paraId="5EA37D63" w14:textId="77777777" w:rsidR="002852F7" w:rsidRDefault="00000000">
      <w:pPr>
        <w:pBdr>
          <w:top w:val="nil"/>
          <w:left w:val="nil"/>
          <w:bottom w:val="nil"/>
          <w:right w:val="nil"/>
          <w:between w:val="nil"/>
        </w:pBdr>
        <w:spacing w:after="120"/>
        <w:jc w:val="both"/>
        <w:rPr>
          <w:rFonts w:ascii="Calibri" w:eastAsia="Calibri" w:hAnsi="Calibri" w:cs="Calibri"/>
          <w:color w:val="000000"/>
        </w:rPr>
      </w:pPr>
      <w:r>
        <w:rPr>
          <w:rFonts w:ascii="Times New Roman" w:eastAsia="Times New Roman" w:hAnsi="Times New Roman" w:cs="Times New Roman"/>
          <w:color w:val="000000"/>
        </w:rPr>
        <w:t>This article comparatively analyzes Indigenous Law in Brazil and Colombia. The history of Indigenous Law in both countries is examined from the period of European colonization to the enactment of the Citizen Constitution in Brazil and the Political Constitution in Colombia. The article specifically analyzes the constitutional processes and the current indigenous legislation of each country. The analysis concludes with an observation of the context and actions of the constitutional courts of both countries regarding Indigenous Law. This empirical research is conducted using exploratory and qualitative-quantitative methodologies on the collected data, direct and indirect bibliographic research from multidisciplinary sources on the topic, and documentary ethnography on the analyzed normative instruments. At each stage, the analysis is carried out under legal, historical, and political spectrums to achieve a more contextualized perspective on the subject. The objective is to critically and dialogically analyze the contexts of Indigenous Law in Brazil and Colombia, comparing them to identify similarities and singularities that may contribute to the advancement of Indigenous Law in Brazil.</w:t>
      </w:r>
    </w:p>
    <w:p w14:paraId="410E283D" w14:textId="77777777" w:rsidR="002852F7" w:rsidRDefault="00000000">
      <w:pPr>
        <w:spacing w:after="120"/>
        <w:rPr>
          <w:rFonts w:ascii="Times New Roman" w:eastAsia="Times New Roman" w:hAnsi="Times New Roman" w:cs="Times New Roman"/>
          <w:b/>
          <w:u w:val="single"/>
        </w:rPr>
      </w:pPr>
      <w:r>
        <w:rPr>
          <w:rFonts w:ascii="Times New Roman" w:eastAsia="Times New Roman" w:hAnsi="Times New Roman" w:cs="Times New Roman"/>
          <w:b/>
        </w:rPr>
        <w:t>Keywords</w:t>
      </w:r>
      <w:r>
        <w:rPr>
          <w:rFonts w:ascii="Times New Roman" w:eastAsia="Times New Roman" w:hAnsi="Times New Roman" w:cs="Times New Roman"/>
        </w:rPr>
        <w:t>: indigenous law; comparative law; indigenous folk.</w:t>
      </w:r>
    </w:p>
    <w:p w14:paraId="572A8DDE" w14:textId="77777777" w:rsidR="002852F7" w:rsidRDefault="002852F7">
      <w:pPr>
        <w:pBdr>
          <w:bottom w:val="single" w:sz="12" w:space="1" w:color="000000"/>
        </w:pBdr>
        <w:spacing w:after="120"/>
        <w:rPr>
          <w:rFonts w:ascii="Georgia" w:eastAsia="Georgia" w:hAnsi="Georgia" w:cs="Georgia"/>
        </w:rPr>
      </w:pPr>
    </w:p>
    <w:p w14:paraId="16915218" w14:textId="77777777" w:rsidR="002852F7" w:rsidRDefault="002852F7">
      <w:pPr>
        <w:spacing w:after="120"/>
        <w:rPr>
          <w:rFonts w:ascii="Georgia" w:eastAsia="Georgia" w:hAnsi="Georgia" w:cs="Georgia"/>
        </w:rPr>
      </w:pPr>
    </w:p>
    <w:p w14:paraId="60073164" w14:textId="77777777" w:rsidR="002852F7" w:rsidRDefault="00000000">
      <w:pPr>
        <w:rPr>
          <w:rFonts w:ascii="Times New Roman" w:eastAsia="Times New Roman" w:hAnsi="Times New Roman" w:cs="Times New Roman"/>
        </w:rPr>
      </w:pPr>
      <w:r>
        <w:rPr>
          <w:rFonts w:ascii="Times New Roman" w:eastAsia="Times New Roman" w:hAnsi="Times New Roman" w:cs="Times New Roman"/>
          <w:b/>
        </w:rPr>
        <w:t>Introdução</w:t>
      </w:r>
    </w:p>
    <w:p w14:paraId="0EFEBEE5" w14:textId="77777777" w:rsidR="002852F7" w:rsidRDefault="002852F7">
      <w:pPr>
        <w:rPr>
          <w:rFonts w:ascii="Times New Roman" w:eastAsia="Times New Roman" w:hAnsi="Times New Roman" w:cs="Times New Roman"/>
        </w:rPr>
      </w:pPr>
    </w:p>
    <w:p w14:paraId="5DEE0A71" w14:textId="77777777" w:rsidR="002852F7" w:rsidRDefault="00000000">
      <w:pPr>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rPr>
        <w:t>O Direito Indigenista corresponde ao Direito criado pelo Estado para contemplar os povos indígenas submetidos à soberania nacional e, logo, não corresponde à realidade jurídica emanada do cerne de cada aldeia indígena (TERENA, 2022). Os povos indígenas raramente são contemplados pelo Direito alienígena (de fora da aldeia) de maneira digna e consonante com suas próprias instituições, tradições e com a sua pluralidade étnica e cultural, o que os torna ainda mais vulneráveis.</w:t>
      </w:r>
    </w:p>
    <w:p w14:paraId="1013742F" w14:textId="77777777" w:rsidR="002852F7" w:rsidRDefault="00000000">
      <w:pPr>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 presente artigo é um recorte feito em Trabalho de Conclusão de Curso, no qual se observou que os direitos reconhecidos aos povos indígenas pelo ordenamento jurídico brasileiro, principalmente pela Constituição de 1988, encontram-se pendentes de efetivação e sob uma disputa política que remonta ao período colonial do Brasil. Observou-se, também, que o Direito Indigenista brasileiro não está devidamente em consonância com as diretrizes, tratados e órgãos do Direito Internacional dos quais o país é membro ou signatário. </w:t>
      </w:r>
    </w:p>
    <w:p w14:paraId="555CEE76" w14:textId="77777777" w:rsidR="002852F7" w:rsidRDefault="00000000">
      <w:pPr>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Diante da urgência do tema e com o escopo de ampliar o debate e a compreensão sobre o Direito Indigenista no Brasil, realizou-se um </w:t>
      </w:r>
      <w:r>
        <w:rPr>
          <w:rFonts w:ascii="Times New Roman" w:eastAsia="Times New Roman" w:hAnsi="Times New Roman" w:cs="Times New Roman"/>
          <w:i/>
          <w:color w:val="000000"/>
        </w:rPr>
        <w:t>paralelismo</w:t>
      </w:r>
      <w:r>
        <w:rPr>
          <w:rFonts w:ascii="Times New Roman" w:eastAsia="Times New Roman" w:hAnsi="Times New Roman" w:cs="Times New Roman"/>
          <w:color w:val="000000"/>
        </w:rPr>
        <w:t xml:space="preserve"> com o Direito Indigenista na Colômbia, devido às similaridades e às singularidades evidenciadas entre as nações, em busca de conceitos, iniciativas e institutos jurídicos que possam contribuir para o avanço do tema no </w:t>
      </w:r>
      <w:r>
        <w:rPr>
          <w:rFonts w:ascii="Times New Roman" w:eastAsia="Times New Roman" w:hAnsi="Times New Roman" w:cs="Times New Roman"/>
          <w:color w:val="000000"/>
        </w:rPr>
        <w:lastRenderedPageBreak/>
        <w:t>país. Utilizou-se uma metodologia predominantemente empírica e exploratória mediante as técnicas de pesquisa bibliográfica direta e indireta, qualitativa-quantitativa e de etnografia documental, bem como uma perspectiva política e histórica sobre o tema.</w:t>
      </w:r>
    </w:p>
    <w:p w14:paraId="69351854" w14:textId="77777777" w:rsidR="002852F7" w:rsidRDefault="002852F7">
      <w:pPr>
        <w:pBdr>
          <w:top w:val="nil"/>
          <w:left w:val="nil"/>
          <w:bottom w:val="nil"/>
          <w:right w:val="nil"/>
          <w:between w:val="nil"/>
        </w:pBdr>
        <w:spacing w:line="360" w:lineRule="auto"/>
        <w:ind w:firstLine="851"/>
        <w:jc w:val="both"/>
        <w:rPr>
          <w:rFonts w:ascii="Calibri" w:eastAsia="Calibri" w:hAnsi="Calibri" w:cs="Calibri"/>
          <w:color w:val="000000"/>
        </w:rPr>
      </w:pPr>
    </w:p>
    <w:p w14:paraId="34F34B33" w14:textId="77777777" w:rsidR="002852F7"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1. Assimilacionismo e colonialismo: </w:t>
      </w:r>
      <w:r>
        <w:rPr>
          <w:rFonts w:ascii="Times New Roman" w:eastAsia="Times New Roman" w:hAnsi="Times New Roman" w:cs="Times New Roman"/>
          <w:b/>
        </w:rPr>
        <w:t>c</w:t>
      </w:r>
      <w:r>
        <w:rPr>
          <w:rFonts w:ascii="Times New Roman" w:eastAsia="Times New Roman" w:hAnsi="Times New Roman" w:cs="Times New Roman"/>
          <w:b/>
          <w:color w:val="000000"/>
        </w:rPr>
        <w:t>ontextualizando o direito indigenista no Brasil e na Colômbia</w:t>
      </w:r>
    </w:p>
    <w:p w14:paraId="7498A097" w14:textId="77777777" w:rsidR="002852F7" w:rsidRDefault="002852F7">
      <w:pPr>
        <w:pBdr>
          <w:top w:val="nil"/>
          <w:left w:val="nil"/>
          <w:bottom w:val="nil"/>
          <w:right w:val="nil"/>
          <w:between w:val="nil"/>
        </w:pBdr>
        <w:spacing w:line="360" w:lineRule="auto"/>
        <w:ind w:left="-11" w:firstLine="862"/>
        <w:jc w:val="both"/>
        <w:rPr>
          <w:rFonts w:ascii="Calibri" w:eastAsia="Calibri" w:hAnsi="Calibri" w:cs="Calibri"/>
          <w:color w:val="000000"/>
        </w:rPr>
      </w:pPr>
    </w:p>
    <w:p w14:paraId="1E55C27C" w14:textId="77777777" w:rsidR="002852F7" w:rsidRDefault="00000000">
      <w:pPr>
        <w:pBdr>
          <w:top w:val="nil"/>
          <w:left w:val="nil"/>
          <w:bottom w:val="nil"/>
          <w:right w:val="nil"/>
          <w:between w:val="nil"/>
        </w:pBdr>
        <w:spacing w:line="360" w:lineRule="auto"/>
        <w:ind w:left="-11" w:firstLine="86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Para um mais amplo entendimento sobre o objeto deste artigo, é necessário que se analise o contexto histórico dos povos indígenas em cada país desde os seus primeiros contatos com os povos alienígenas e com o Direito do colonizador. Os povos indígenas, dos territórios correspondentes aos atuais Estados de Brasil e Colômbia, sofreram nos </w:t>
      </w:r>
      <w:r>
        <w:rPr>
          <w:rFonts w:ascii="Times New Roman" w:eastAsia="Times New Roman" w:hAnsi="Times New Roman" w:cs="Times New Roman"/>
        </w:rPr>
        <w:t>séculos</w:t>
      </w:r>
      <w:r>
        <w:rPr>
          <w:rFonts w:ascii="Times New Roman" w:eastAsia="Times New Roman" w:hAnsi="Times New Roman" w:cs="Times New Roman"/>
          <w:color w:val="000000"/>
        </w:rPr>
        <w:t xml:space="preserve"> XV e XVI com um processo de colonização por monarquias europeias. Esse processo de colonização foi marcado pelo genocídio e pelo etnocídio dos povos originários, mediante extermínio belicoso, transmissão de doenças e submissão dos seus corpos, territórios e tradições.</w:t>
      </w:r>
    </w:p>
    <w:p w14:paraId="5B12CBD0" w14:textId="77777777" w:rsidR="002852F7" w:rsidRDefault="00000000">
      <w:pPr>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rPr>
        <w:t>A população indígena no Brasil em 1500 era de quase 3 milhões de indivíduos (IBGE, 2000), enquanto na Colômbia não foi encontrada uma estimativa oficial do Governo, variando as demais fontes entre 1,5 e 11 milhões de indivíduos (MEJÍA, 2015, p. 23). No Censo de 2022, o Brasil contava com uma população indígena de 1.693.535.917 indígenas, 0,83% da população brasileira, sob 305 etnias diferentes. Já a Colômbia possuía em 2018 uma população de 1.905.617 indígenas em seu território, o equivalente a 4,4% da população colombiana, sob 115 etnias diferentes.</w:t>
      </w:r>
    </w:p>
    <w:p w14:paraId="7B21D050" w14:textId="77777777" w:rsidR="002852F7" w:rsidRDefault="00000000">
      <w:pPr>
        <w:pBdr>
          <w:top w:val="nil"/>
          <w:left w:val="nil"/>
          <w:bottom w:val="nil"/>
          <w:right w:val="nil"/>
          <w:between w:val="nil"/>
        </w:pBdr>
        <w:spacing w:line="360" w:lineRule="auto"/>
        <w:ind w:left="-11" w:firstLine="862"/>
        <w:jc w:val="both"/>
        <w:rPr>
          <w:rFonts w:ascii="Times New Roman" w:eastAsia="Times New Roman" w:hAnsi="Times New Roman" w:cs="Times New Roman"/>
          <w:color w:val="000000"/>
        </w:rPr>
      </w:pPr>
      <w:r>
        <w:rPr>
          <w:rFonts w:ascii="Times New Roman" w:eastAsia="Times New Roman" w:hAnsi="Times New Roman" w:cs="Times New Roman"/>
          <w:color w:val="000000"/>
        </w:rPr>
        <w:t>O Brasil foi colonizado pela Coroa Portuguesa (1500) e a Colômbia pela Coroa Espanhola (1499), que incorporaram os povos indígenas ao Direito, ora como sujeito de direito, ora como objeto do Direito. No Brasil, os primeiros documentos jurídicos a versarem sobre os povos indígenas foram as Cartas Régias, que instituíram a escravização dos povos indígenas e os Aldeamentos Jesuíticos</w:t>
      </w:r>
      <w:r>
        <w:rPr>
          <w:rFonts w:ascii="Times New Roman" w:eastAsia="Times New Roman" w:hAnsi="Times New Roman" w:cs="Times New Roman"/>
          <w:color w:val="000000"/>
          <w:vertAlign w:val="superscript"/>
        </w:rPr>
        <w:footnoteReference w:id="3"/>
      </w:r>
      <w:r>
        <w:rPr>
          <w:rFonts w:ascii="Times New Roman" w:eastAsia="Times New Roman" w:hAnsi="Times New Roman" w:cs="Times New Roman"/>
          <w:color w:val="000000"/>
        </w:rPr>
        <w:t xml:space="preserve">. Do séc. XVI ao XVIII foram redigidas diversas normas acerca dos povos indígenas sob a forma de cartas régias, alvarás e leis, como o Alvará de 1º de abril de 1680 e as Leis Pombalinas, em que é possível observar o surgimento de uma tendência do </w:t>
      </w:r>
      <w:r>
        <w:rPr>
          <w:rFonts w:ascii="Times New Roman" w:eastAsia="Times New Roman" w:hAnsi="Times New Roman" w:cs="Times New Roman"/>
          <w:color w:val="000000"/>
        </w:rPr>
        <w:lastRenderedPageBreak/>
        <w:t xml:space="preserve">Direito luso-brasileiro sobre a regulamentação de determinadas matérias em relação aos povos indígenas. </w:t>
      </w:r>
    </w:p>
    <w:p w14:paraId="5B418087" w14:textId="77777777" w:rsidR="002852F7" w:rsidRDefault="00000000">
      <w:pPr>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rPr>
        <w:t>As terras tradicionalmente ocupadas pelos povos originários despertaram um interesse especial da Coroa Portuguesa. Na Constituição do Brasil de 1824, fruto da proclamação da independência, não houve nenhuma disposição sobre os direitos dos povos indígenas. Em 1845, publicou-se o Regulamento das Missões de Catequese e Civilização dos Índios e somente em 1850 as terras indígenas tornaram a ser objeto do Direito brasileiro através da Lei de Terras, a qual determina como competência do Governo a destinação de terras devolutas aos povos indígenas (LOPES; MATTOS, 2006, p. 223). Mas, essas terras não correspondiam às tradicionalmente ocupadas por esses povos e sobre elas os indígenas só tinham o direito de posse.</w:t>
      </w:r>
    </w:p>
    <w:p w14:paraId="7AEC916F" w14:textId="77777777" w:rsidR="002852F7" w:rsidRDefault="00000000">
      <w:pPr>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Coroa Espanhola não tardou em introduzir os povos indígenas no Direito espanhol. Em 1503 foi publicada a </w:t>
      </w:r>
      <w:r>
        <w:rPr>
          <w:rFonts w:ascii="Times New Roman" w:eastAsia="Times New Roman" w:hAnsi="Times New Roman" w:cs="Times New Roman"/>
          <w:i/>
          <w:color w:val="000000"/>
        </w:rPr>
        <w:t xml:space="preserve">Real Provisión de Ordenanzas, </w:t>
      </w:r>
      <w:r>
        <w:rPr>
          <w:rFonts w:ascii="Times New Roman" w:eastAsia="Times New Roman" w:hAnsi="Times New Roman" w:cs="Times New Roman"/>
          <w:color w:val="000000"/>
        </w:rPr>
        <w:t xml:space="preserve">um documento jurídico que determinava os povos indígenas pessoas livres e dignas. Esse documento tratava dos povos indígenas que sobreviveram aos conflitos bélicos contra os colonizadores e foram submetidos às </w:t>
      </w:r>
      <w:r>
        <w:rPr>
          <w:rFonts w:ascii="Times New Roman" w:eastAsia="Times New Roman" w:hAnsi="Times New Roman" w:cs="Times New Roman"/>
          <w:i/>
          <w:color w:val="000000"/>
        </w:rPr>
        <w:t>Encomiendas</w:t>
      </w:r>
      <w:r>
        <w:rPr>
          <w:rFonts w:ascii="Times New Roman" w:eastAsia="Times New Roman" w:hAnsi="Times New Roman" w:cs="Times New Roman"/>
          <w:i/>
          <w:color w:val="000000"/>
          <w:vertAlign w:val="superscript"/>
        </w:rPr>
        <w:footnoteReference w:id="4"/>
      </w:r>
      <w:r>
        <w:rPr>
          <w:rFonts w:ascii="Times New Roman" w:eastAsia="Times New Roman" w:hAnsi="Times New Roman" w:cs="Times New Roman"/>
          <w:color w:val="000000"/>
        </w:rPr>
        <w:t xml:space="preserve">. Essa disposição se esgotou com a morte da monarca que a cunhou em 1504 até que em 1512 foram publicadas as </w:t>
      </w:r>
      <w:r>
        <w:rPr>
          <w:rFonts w:ascii="Times New Roman" w:eastAsia="Times New Roman" w:hAnsi="Times New Roman" w:cs="Times New Roman"/>
          <w:i/>
          <w:color w:val="000000"/>
        </w:rPr>
        <w:t>Leyes de Burgos</w:t>
      </w:r>
      <w:r>
        <w:rPr>
          <w:rFonts w:ascii="Times New Roman" w:eastAsia="Times New Roman" w:hAnsi="Times New Roman" w:cs="Times New Roman"/>
          <w:color w:val="000000"/>
        </w:rPr>
        <w:t>, novamente tratando os indígenas como homens livres e determinando o trabalho compulsório destes em favor da Coroa.</w:t>
      </w:r>
    </w:p>
    <w:p w14:paraId="609439B9" w14:textId="77777777" w:rsidR="002852F7" w:rsidRDefault="00000000">
      <w:pPr>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Em 1542, com o advento das </w:t>
      </w:r>
      <w:r>
        <w:rPr>
          <w:rFonts w:ascii="Times New Roman" w:eastAsia="Times New Roman" w:hAnsi="Times New Roman" w:cs="Times New Roman"/>
          <w:i/>
          <w:color w:val="000000"/>
        </w:rPr>
        <w:t>Nuevas Leyes,</w:t>
      </w:r>
      <w:r>
        <w:rPr>
          <w:rFonts w:ascii="Times New Roman" w:eastAsia="Times New Roman" w:hAnsi="Times New Roman" w:cs="Times New Roman"/>
          <w:color w:val="000000"/>
        </w:rPr>
        <w:t xml:space="preserve"> os indígenas foram determinados como livres súditos da Coroa e as </w:t>
      </w:r>
      <w:r>
        <w:rPr>
          <w:rFonts w:ascii="Times New Roman" w:eastAsia="Times New Roman" w:hAnsi="Times New Roman" w:cs="Times New Roman"/>
          <w:i/>
          <w:color w:val="000000"/>
        </w:rPr>
        <w:t xml:space="preserve">Encomiendas </w:t>
      </w:r>
      <w:r>
        <w:rPr>
          <w:rFonts w:ascii="Times New Roman" w:eastAsia="Times New Roman" w:hAnsi="Times New Roman" w:cs="Times New Roman"/>
          <w:color w:val="000000"/>
        </w:rPr>
        <w:t>proibidas sob pena de morte, um artifício para enfraquecer os Governadores e manter a centralização do poder na Metrópole. Em 1550 ocorreu a Controvérsia de Valladolid</w:t>
      </w:r>
      <w:r>
        <w:rPr>
          <w:rFonts w:ascii="Times New Roman" w:eastAsia="Times New Roman" w:hAnsi="Times New Roman" w:cs="Times New Roman"/>
          <w:color w:val="000000"/>
          <w:vertAlign w:val="superscript"/>
        </w:rPr>
        <w:footnoteReference w:id="5"/>
      </w:r>
      <w:r>
        <w:rPr>
          <w:rFonts w:ascii="Times New Roman" w:eastAsia="Times New Roman" w:hAnsi="Times New Roman" w:cs="Times New Roman"/>
          <w:color w:val="000000"/>
        </w:rPr>
        <w:t xml:space="preserve"> que influenciou a criação do </w:t>
      </w:r>
      <w:r>
        <w:rPr>
          <w:rFonts w:ascii="Times New Roman" w:eastAsia="Times New Roman" w:hAnsi="Times New Roman" w:cs="Times New Roman"/>
          <w:i/>
          <w:color w:val="000000"/>
        </w:rPr>
        <w:t>Protector de Índios</w:t>
      </w:r>
      <w:r>
        <w:rPr>
          <w:rFonts w:ascii="Times New Roman" w:eastAsia="Times New Roman" w:hAnsi="Times New Roman" w:cs="Times New Roman"/>
          <w:color w:val="000000"/>
        </w:rPr>
        <w:t xml:space="preserve"> – figura jurídica com o escopo de fiscalizar possíveis abusos e a exploração contra os povos indígenas (CERVERA, 2015). As </w:t>
      </w:r>
      <w:r>
        <w:rPr>
          <w:rFonts w:ascii="Times New Roman" w:eastAsia="Times New Roman" w:hAnsi="Times New Roman" w:cs="Times New Roman"/>
          <w:i/>
          <w:color w:val="000000"/>
        </w:rPr>
        <w:t xml:space="preserve">Encomiendas </w:t>
      </w:r>
      <w:r>
        <w:rPr>
          <w:rFonts w:ascii="Times New Roman" w:eastAsia="Times New Roman" w:hAnsi="Times New Roman" w:cs="Times New Roman"/>
          <w:color w:val="000000"/>
        </w:rPr>
        <w:t xml:space="preserve">foram sucedidas pelos </w:t>
      </w:r>
      <w:r>
        <w:rPr>
          <w:rFonts w:ascii="Times New Roman" w:eastAsia="Times New Roman" w:hAnsi="Times New Roman" w:cs="Times New Roman"/>
          <w:i/>
          <w:color w:val="000000"/>
        </w:rPr>
        <w:t>Resguardos</w:t>
      </w:r>
      <w:r>
        <w:rPr>
          <w:rFonts w:ascii="Times New Roman" w:eastAsia="Times New Roman" w:hAnsi="Times New Roman" w:cs="Times New Roman"/>
          <w:i/>
          <w:color w:val="000000"/>
          <w:vertAlign w:val="superscript"/>
        </w:rPr>
        <w:footnoteReference w:id="6"/>
      </w:r>
      <w:r>
        <w:rPr>
          <w:rFonts w:ascii="Times New Roman" w:eastAsia="Times New Roman" w:hAnsi="Times New Roman" w:cs="Times New Roman"/>
          <w:i/>
          <w:color w:val="000000"/>
        </w:rPr>
        <w:t xml:space="preserve"> – Ley 89 de 1890,</w:t>
      </w:r>
      <w:r>
        <w:rPr>
          <w:rFonts w:ascii="Times New Roman" w:eastAsia="Times New Roman" w:hAnsi="Times New Roman" w:cs="Times New Roman"/>
          <w:color w:val="000000"/>
        </w:rPr>
        <w:t xml:space="preserve"> ainda em vigor no Direito colombiano.</w:t>
      </w:r>
    </w:p>
    <w:p w14:paraId="3177455A" w14:textId="135639F3" w:rsidR="002852F7"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b/>
        <w:t xml:space="preserve">O Direito de cada nação elaborou uma política indigenista particular e com foco em objetos diferentes, embora apresentem similaridades. Enquanto o Direito luso-brasileiro se debruçou com maior interesse sobre as terras indígenas, o Direito hispânico priorizou o debate sobre a natureza jurídica dos indígenas, ora os reconhecendo como homens livres e sujeitos de direito, ora como propriedade privada. </w:t>
      </w:r>
      <w:r w:rsidR="00344C21">
        <w:rPr>
          <w:rFonts w:ascii="Times New Roman" w:eastAsia="Times New Roman" w:hAnsi="Times New Roman" w:cs="Times New Roman"/>
          <w:color w:val="000000"/>
        </w:rPr>
        <w:t>Ambos os casos</w:t>
      </w:r>
      <w:r>
        <w:rPr>
          <w:rFonts w:ascii="Times New Roman" w:eastAsia="Times New Roman" w:hAnsi="Times New Roman" w:cs="Times New Roman"/>
          <w:color w:val="000000"/>
        </w:rPr>
        <w:t xml:space="preserve"> foram marcados pelo assimilacionismo e etnocídio dos povos indígenas, nos quais a Igreja Católica assumiu papel fundamental ao legitimar e executar essas políticas.</w:t>
      </w:r>
    </w:p>
    <w:p w14:paraId="47AC4AB0" w14:textId="77777777" w:rsidR="002852F7" w:rsidRDefault="00000000">
      <w:pPr>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As políticas indigenistas coloniais influenciam significativamente o Direito de Brasil e Colômbia desde seus períodos republicanos – iniciados em 1889 e 1886 respectivamente. Esse período foi marcado em ambos os países por um forte crescimento da discriminação dos povos indígenas e da violação dos seus direitos. O próprio Direito denominava os indígenas como silvícolas ou </w:t>
      </w:r>
      <w:r>
        <w:rPr>
          <w:rFonts w:ascii="Times New Roman" w:eastAsia="Times New Roman" w:hAnsi="Times New Roman" w:cs="Times New Roman"/>
          <w:i/>
          <w:color w:val="000000"/>
        </w:rPr>
        <w:t>salvajes</w:t>
      </w:r>
      <w:r>
        <w:rPr>
          <w:rFonts w:ascii="Times New Roman" w:eastAsia="Times New Roman" w:hAnsi="Times New Roman" w:cs="Times New Roman"/>
          <w:color w:val="000000"/>
        </w:rPr>
        <w:t xml:space="preserve"> e como incapazes a serem tutelados pelo Estado, civilizados e progressivamente assimilados à comunhão nacional.</w:t>
      </w:r>
    </w:p>
    <w:p w14:paraId="37BA163C" w14:textId="77777777" w:rsidR="002852F7" w:rsidRDefault="00000000">
      <w:pPr>
        <w:pBdr>
          <w:top w:val="nil"/>
          <w:left w:val="nil"/>
          <w:bottom w:val="nil"/>
          <w:right w:val="nil"/>
          <w:between w:val="nil"/>
        </w:pBdr>
        <w:spacing w:line="360" w:lineRule="auto"/>
        <w:ind w:firstLine="708"/>
        <w:jc w:val="both"/>
        <w:rPr>
          <w:rFonts w:ascii="Times New Roman" w:eastAsia="Times New Roman" w:hAnsi="Times New Roman" w:cs="Times New Roman"/>
          <w:color w:val="000000"/>
        </w:rPr>
      </w:pPr>
      <w:r>
        <w:rPr>
          <w:rFonts w:ascii="Times New Roman" w:eastAsia="Times New Roman" w:hAnsi="Times New Roman" w:cs="Times New Roman"/>
          <w:color w:val="000000"/>
        </w:rPr>
        <w:t>Na Colômbia a interação entre os povos indígenas e o Estado reflete um contexto histórico conflituoso, principalmente, no início do séc. XX, através do líder indígena Manuel Quintín Lame</w:t>
      </w:r>
      <w:r>
        <w:rPr>
          <w:rFonts w:ascii="Times New Roman" w:eastAsia="Times New Roman" w:hAnsi="Times New Roman" w:cs="Times New Roman"/>
          <w:color w:val="000000"/>
          <w:vertAlign w:val="superscript"/>
        </w:rPr>
        <w:footnoteReference w:id="7"/>
      </w:r>
      <w:r>
        <w:rPr>
          <w:rFonts w:ascii="Times New Roman" w:eastAsia="Times New Roman" w:hAnsi="Times New Roman" w:cs="Times New Roman"/>
          <w:color w:val="000000"/>
        </w:rPr>
        <w:t>. Esses embates alcançaram o conflito armado em 1980, quando insurgiu a primeira guerrilha indígena da América Latina, inspirada em Lame, para se defender da violência praticada pelo Estado e por outras forças paramilitares e proteger as terras ancestrais indígenas.</w:t>
      </w:r>
    </w:p>
    <w:p w14:paraId="78F3BC88" w14:textId="77777777" w:rsidR="002852F7" w:rsidRDefault="00000000">
      <w:pPr>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vulnerabilidade e violação dos povos indígenas pelo Estado e pela sociedade não indígena nesses países chegaram ao auge na segunda metade do séc. XX, quando sofreram, respectivamente, com períodos de Ditadura Militar e Estado de Sítio (Guerra Civil). Os povos indígenas, sem amparo estatal e sendo vilipendiados pelo Estado, viram-se obrigados a se organizar politicamente para lutar pelos seus direitos. </w:t>
      </w:r>
    </w:p>
    <w:p w14:paraId="3994AB36" w14:textId="77777777" w:rsidR="002852F7" w:rsidRDefault="00000000">
      <w:pPr>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insurgência das organizações políticas indígenas no Brasil e na Colômbia, somada à decadência dos períodos supracitados e ao fortalecimento e influência dos novos ideais indigenistas do Direito Internacional culminou em um processo de redemocratização e abertura </w:t>
      </w:r>
      <w:r>
        <w:rPr>
          <w:rFonts w:ascii="Times New Roman" w:eastAsia="Times New Roman" w:hAnsi="Times New Roman" w:cs="Times New Roman"/>
          <w:color w:val="000000"/>
        </w:rPr>
        <w:lastRenderedPageBreak/>
        <w:t>política em ambos os países e, pois, na instalação das Assembleias Constituintes de 1987 (Brasil) e 1991 (Colômbia). Fatores igualmente importantes contribuíram significativamente com esse processo, como a ascendência do neoliberalismo, a consolidação dos ideais humanitários pós-guerras e a aprovação da Convenção 169 da OIT de 1989 sobre povos indígenas e tribais (GARZÓN, 2008, p. 33).</w:t>
      </w:r>
    </w:p>
    <w:p w14:paraId="17790F8F" w14:textId="77777777" w:rsidR="002852F7" w:rsidRDefault="00000000">
      <w:pPr>
        <w:pBdr>
          <w:top w:val="nil"/>
          <w:left w:val="nil"/>
          <w:bottom w:val="nil"/>
          <w:right w:val="nil"/>
          <w:between w:val="nil"/>
        </w:pBdr>
        <w:spacing w:line="360" w:lineRule="auto"/>
        <w:ind w:firstLine="851"/>
        <w:jc w:val="both"/>
        <w:rPr>
          <w:rFonts w:ascii="Calibri" w:eastAsia="Calibri" w:hAnsi="Calibri" w:cs="Calibri"/>
          <w:b/>
          <w:color w:val="000000"/>
        </w:rPr>
      </w:pPr>
      <w:r>
        <w:rPr>
          <w:rFonts w:ascii="Times New Roman" w:eastAsia="Times New Roman" w:hAnsi="Times New Roman" w:cs="Times New Roman"/>
          <w:color w:val="000000"/>
        </w:rPr>
        <w:t>Os povos indígenas, além de participarem efetivamente dos processos constituintes de seus países, protagonizaram esses processos e serviram de capital simbólico para legitimar as Assembleias Constituintes e suas respectivas Constituições que viriam a ser aprovadas. Criou-se a expectativa de uma nova era para o Direito Indigenista de Brasil e Colômbia, que romperia com os alicerces coloniais e assimilacionistas, reconhecendo e contemplando os povos indígenas como povos plenos e plurais.</w:t>
      </w:r>
    </w:p>
    <w:p w14:paraId="1A56ABBB" w14:textId="77777777" w:rsidR="002852F7" w:rsidRDefault="002852F7">
      <w:pPr>
        <w:pBdr>
          <w:top w:val="nil"/>
          <w:left w:val="nil"/>
          <w:bottom w:val="nil"/>
          <w:right w:val="nil"/>
          <w:between w:val="nil"/>
        </w:pBdr>
        <w:spacing w:line="276" w:lineRule="auto"/>
        <w:ind w:left="-11"/>
        <w:jc w:val="both"/>
        <w:rPr>
          <w:rFonts w:ascii="Calibri" w:eastAsia="Calibri" w:hAnsi="Calibri" w:cs="Calibri"/>
          <w:b/>
          <w:color w:val="000000"/>
        </w:rPr>
      </w:pPr>
    </w:p>
    <w:p w14:paraId="0A06E30E" w14:textId="77777777" w:rsidR="002852F7"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2. A constituição cidadã e a constituição política: </w:t>
      </w:r>
      <w:r>
        <w:rPr>
          <w:rFonts w:ascii="Times New Roman" w:eastAsia="Times New Roman" w:hAnsi="Times New Roman" w:cs="Times New Roman"/>
          <w:b/>
        </w:rPr>
        <w:t>d</w:t>
      </w:r>
      <w:r>
        <w:rPr>
          <w:rFonts w:ascii="Times New Roman" w:eastAsia="Times New Roman" w:hAnsi="Times New Roman" w:cs="Times New Roman"/>
          <w:b/>
          <w:color w:val="000000"/>
        </w:rPr>
        <w:t>as assembleias constituintes a uma nova era do direito indigenista (?)</w:t>
      </w:r>
    </w:p>
    <w:p w14:paraId="45413374" w14:textId="77777777" w:rsidR="002852F7" w:rsidRDefault="002852F7">
      <w:pPr>
        <w:pBdr>
          <w:top w:val="nil"/>
          <w:left w:val="nil"/>
          <w:bottom w:val="nil"/>
          <w:right w:val="nil"/>
          <w:between w:val="nil"/>
        </w:pBdr>
        <w:spacing w:line="276" w:lineRule="auto"/>
        <w:ind w:left="709"/>
        <w:jc w:val="both"/>
        <w:rPr>
          <w:rFonts w:ascii="Calibri" w:eastAsia="Calibri" w:hAnsi="Calibri" w:cs="Calibri"/>
          <w:b/>
          <w:color w:val="000000"/>
        </w:rPr>
      </w:pPr>
    </w:p>
    <w:p w14:paraId="715FB8C9" w14:textId="77777777" w:rsidR="002852F7" w:rsidRDefault="00000000">
      <w:pPr>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rPr>
        <w:t>No Brasil, a participação dos povos indígenas na Constituinte ocorreu através da consulta e exposição de diversas lideranças indígenas na Subcomissão dos Negros, Populações Indígenas, Pessoas Deficientes e Minorias, em que se destacam o Cacique Raoni Metuktire e o Aílton Krenak. Este representou os povos indígenas na Assembleia Constituinte em 1987 mediante um discurso contundente e um ato de protesto sob a forma de um ritual tradicional de seu povo.</w:t>
      </w:r>
    </w:p>
    <w:p w14:paraId="0040FA73" w14:textId="77777777" w:rsidR="002852F7" w:rsidRDefault="00000000">
      <w:pPr>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rPr>
        <w:t>Mesmo reconhecendo o valor da participação dos povos indígenas e suas conquistas na Constituinte, Krenak denunciou atentados que visavam frustrar e sabotar os anseios dos povos indígenas e a garantia de seus direitos fundamentais no texto constitucional. Apesar de toda a conjuntura interna e externa que influenciou e culminou na promulgação da Constituição Federal em 1988, evidenciou-se uma forte resistência política por parte da sociedade não indígena e da Assembleia Constituinte, fundamentada nos ideais coloniais e assimilacionistas que regeram a política e o Direito Indigenista no Brasil por quase cinco séculos.</w:t>
      </w:r>
    </w:p>
    <w:p w14:paraId="57D4B1F7" w14:textId="77777777" w:rsidR="002852F7" w:rsidRDefault="00000000">
      <w:pPr>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Enquanto na Constituinte do Brasil prevaleceu o embate político e ideológico sobre o reconhecimento dos direitos fundamentais dos povos indígenas, na Colômbia o processo Constituinte procedeu sob tons mais condescendentes por parte da sociedade não indígena e do Estado. Além do direito de consulta, a Assembleia Constituinte elegeu dois representantes </w:t>
      </w:r>
      <w:r>
        <w:rPr>
          <w:rFonts w:ascii="Times New Roman" w:eastAsia="Times New Roman" w:hAnsi="Times New Roman" w:cs="Times New Roman"/>
          <w:color w:val="000000"/>
        </w:rPr>
        <w:lastRenderedPageBreak/>
        <w:t xml:space="preserve">indígenas como constituintes para participarem efetivamente do processo que reconheceu diversos direitos aos povos indígenas na Constituição colombiana. </w:t>
      </w:r>
    </w:p>
    <w:p w14:paraId="15BC46AC" w14:textId="77777777" w:rsidR="002852F7" w:rsidRDefault="00000000">
      <w:pPr>
        <w:pBdr>
          <w:top w:val="nil"/>
          <w:left w:val="nil"/>
          <w:bottom w:val="nil"/>
          <w:right w:val="nil"/>
          <w:between w:val="nil"/>
        </w:pBdr>
        <w:spacing w:line="360" w:lineRule="auto"/>
        <w:ind w:left="-11" w:firstLine="86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Foram promulgadas em 1988 a Constituição Federal do Brasil e em 1991 a Constituição Política (CP) da Colômbia. Sobre o Direito Indigenista, a principal influência dessas constituições é a Convenção 169 da OIT que reconhece aos povos indígenas, entre outros direitos, o direito à autodeterminação, o direito originário às suas terras e o direito de consulta e participação nas ações e políticas do Estado sobre os temas que lhes concernem. Esse tratado se tornou o principal instrumento normativo do Direito Internacional sobre os povos indígenas pelo seu caráter vinculativo e pelo rompimento com os ideais coloniais e assimilacionistas imperantes, estando seus princípios presentes nos textos de ambas as constituições. </w:t>
      </w:r>
    </w:p>
    <w:p w14:paraId="72EFF299" w14:textId="77777777" w:rsidR="002852F7" w:rsidRDefault="00000000">
      <w:pPr>
        <w:pBdr>
          <w:top w:val="nil"/>
          <w:left w:val="nil"/>
          <w:bottom w:val="nil"/>
          <w:right w:val="nil"/>
          <w:between w:val="nil"/>
        </w:pBdr>
        <w:spacing w:line="360" w:lineRule="auto"/>
        <w:ind w:left="-11" w:firstLine="862"/>
        <w:jc w:val="both"/>
        <w:rPr>
          <w:rFonts w:ascii="Times New Roman" w:eastAsia="Times New Roman" w:hAnsi="Times New Roman" w:cs="Times New Roman"/>
          <w:color w:val="000000"/>
        </w:rPr>
      </w:pPr>
      <w:r>
        <w:rPr>
          <w:rFonts w:ascii="Times New Roman" w:eastAsia="Times New Roman" w:hAnsi="Times New Roman" w:cs="Times New Roman"/>
          <w:color w:val="000000"/>
        </w:rPr>
        <w:t>Entretanto, os processos constituintes de Brasil e Colômbia não ocorreram sem dissonâncias – proeminentes ou sutis. O Brasil promulgou sua Constituição em 1988 e a Colômbia em 1991, enquanto a Convenção 169 da OIT foi aprovada em 1989. A CP contou com uma fonte normativa que, à data da promulgação da Constituição Cidadã, ainda estava no âmbito conceitual e sob construção. Apesar dos contextos similares, a soma desses dois fatores contribuiu para uma significativa diferença entre os textos das duas constituições sobre os direitos reconhecidos aos povos indígenas.</w:t>
      </w:r>
    </w:p>
    <w:p w14:paraId="7A3AC7AC" w14:textId="77777777" w:rsidR="002852F7" w:rsidRDefault="002852F7">
      <w:pPr>
        <w:pBdr>
          <w:top w:val="nil"/>
          <w:left w:val="nil"/>
          <w:bottom w:val="nil"/>
          <w:right w:val="nil"/>
          <w:between w:val="nil"/>
        </w:pBdr>
        <w:spacing w:line="276" w:lineRule="auto"/>
        <w:ind w:left="1440"/>
        <w:jc w:val="both"/>
        <w:rPr>
          <w:rFonts w:ascii="Calibri" w:eastAsia="Calibri" w:hAnsi="Calibri" w:cs="Calibri"/>
          <w:b/>
          <w:color w:val="000000"/>
        </w:rPr>
      </w:pPr>
    </w:p>
    <w:p w14:paraId="3C0B077F" w14:textId="77777777" w:rsidR="002852F7"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3. O Direito Indigenista nas Constituições de Brasil e Colômbia</w:t>
      </w:r>
    </w:p>
    <w:p w14:paraId="0E2B7047" w14:textId="77777777" w:rsidR="002852F7" w:rsidRDefault="002852F7">
      <w:pPr>
        <w:pBdr>
          <w:top w:val="nil"/>
          <w:left w:val="nil"/>
          <w:bottom w:val="nil"/>
          <w:right w:val="nil"/>
          <w:between w:val="nil"/>
        </w:pBdr>
        <w:spacing w:line="360" w:lineRule="auto"/>
        <w:ind w:firstLine="851"/>
        <w:jc w:val="both"/>
        <w:rPr>
          <w:rFonts w:ascii="Calibri" w:eastAsia="Calibri" w:hAnsi="Calibri" w:cs="Calibri"/>
          <w:color w:val="000000"/>
        </w:rPr>
      </w:pPr>
    </w:p>
    <w:p w14:paraId="337EFECE" w14:textId="77777777" w:rsidR="002852F7" w:rsidRDefault="00000000">
      <w:pPr>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rPr>
        <w:t>A Constituição Cidadã optou de maneira inovadora por dispor um capítulo específico, ainda que curto, para versar sobre os povos originários, composto por dois artigos e sete parágrafos. Diferentemente, a CP abordou o Direito Indigenista de maneira esparsa em seu texto, reconhecendo, quando necessário, direitos diferenciados referentes aos povos indígenas em cada capítulo. As constituições são regidas por princípios distintos que influenciam diretamente a forma como os constituintes versaram sobre o Direito Indigenista:</w:t>
      </w:r>
    </w:p>
    <w:p w14:paraId="2A01E25B" w14:textId="77777777" w:rsidR="002852F7" w:rsidRDefault="002852F7">
      <w:pPr>
        <w:pBdr>
          <w:top w:val="nil"/>
          <w:left w:val="nil"/>
          <w:bottom w:val="nil"/>
          <w:right w:val="nil"/>
          <w:between w:val="nil"/>
        </w:pBdr>
        <w:shd w:val="clear" w:color="auto" w:fill="FFFFFF"/>
        <w:ind w:left="2268"/>
        <w:jc w:val="both"/>
        <w:rPr>
          <w:rFonts w:ascii="Calibri" w:eastAsia="Calibri" w:hAnsi="Calibri" w:cs="Calibri"/>
          <w:color w:val="000000"/>
          <w:sz w:val="20"/>
          <w:szCs w:val="20"/>
        </w:rPr>
      </w:pPr>
    </w:p>
    <w:p w14:paraId="25557568" w14:textId="77777777" w:rsidR="002852F7" w:rsidRPr="0034566F" w:rsidRDefault="00000000">
      <w:pPr>
        <w:pBdr>
          <w:top w:val="nil"/>
          <w:left w:val="nil"/>
          <w:bottom w:val="nil"/>
          <w:right w:val="nil"/>
          <w:between w:val="nil"/>
        </w:pBdr>
        <w:shd w:val="clear" w:color="auto" w:fill="FFFFFF"/>
        <w:ind w:left="2268"/>
        <w:jc w:val="both"/>
        <w:rPr>
          <w:rFonts w:ascii="Times New Roman" w:eastAsia="Times New Roman" w:hAnsi="Times New Roman" w:cs="Times New Roman"/>
          <w:color w:val="000000"/>
          <w:sz w:val="20"/>
          <w:szCs w:val="20"/>
          <w:lang w:val="es-ES"/>
        </w:rPr>
      </w:pPr>
      <w:r>
        <w:rPr>
          <w:rFonts w:ascii="Times New Roman" w:eastAsia="Times New Roman" w:hAnsi="Times New Roman" w:cs="Times New Roman"/>
          <w:color w:val="000000"/>
          <w:sz w:val="20"/>
          <w:szCs w:val="20"/>
        </w:rPr>
        <w:t>TÍTULO I. DOS PRINCÍPIOS FUNDAMENTAIS. Art. 3º Constituem objetivos fundamentais da República Federativa do Brasil:</w:t>
      </w:r>
      <w:bookmarkStart w:id="0" w:name="bookmark=id.30j0zll" w:colFirst="0" w:colLast="0"/>
      <w:bookmarkStart w:id="1" w:name="bookmark=id.1fob9te" w:colFirst="0" w:colLast="0"/>
      <w:bookmarkStart w:id="2" w:name="bookmark=id.gjdgxs" w:colFirst="0" w:colLast="0"/>
      <w:bookmarkEnd w:id="0"/>
      <w:bookmarkEnd w:id="1"/>
      <w:bookmarkEnd w:id="2"/>
      <w:r>
        <w:rPr>
          <w:rFonts w:ascii="Times New Roman" w:eastAsia="Times New Roman" w:hAnsi="Times New Roman" w:cs="Times New Roman"/>
          <w:color w:val="000000"/>
          <w:sz w:val="20"/>
          <w:szCs w:val="20"/>
        </w:rPr>
        <w:t xml:space="preserve"> IV - promover o bem de todos, sem preconceitos de origem, raça, sexo, cor, idade e quaisquer outras formas de discriminação. </w:t>
      </w:r>
      <w:r w:rsidRPr="0034566F">
        <w:rPr>
          <w:rFonts w:ascii="Times New Roman" w:eastAsia="Times New Roman" w:hAnsi="Times New Roman" w:cs="Times New Roman"/>
          <w:color w:val="000000"/>
          <w:sz w:val="20"/>
          <w:szCs w:val="20"/>
          <w:lang w:val="es-ES"/>
        </w:rPr>
        <w:t>(BRASIL, 1988)</w:t>
      </w:r>
    </w:p>
    <w:p w14:paraId="5A85E109" w14:textId="77777777" w:rsidR="002852F7" w:rsidRDefault="00000000">
      <w:pPr>
        <w:pBdr>
          <w:top w:val="nil"/>
          <w:left w:val="nil"/>
          <w:bottom w:val="nil"/>
          <w:right w:val="nil"/>
          <w:between w:val="nil"/>
        </w:pBdr>
        <w:shd w:val="clear" w:color="auto" w:fill="FFFFFF"/>
        <w:ind w:left="2268"/>
        <w:jc w:val="both"/>
        <w:rPr>
          <w:rFonts w:ascii="Times New Roman" w:eastAsia="Times New Roman" w:hAnsi="Times New Roman" w:cs="Times New Roman"/>
          <w:color w:val="000000"/>
          <w:sz w:val="20"/>
          <w:szCs w:val="20"/>
        </w:rPr>
      </w:pPr>
      <w:r w:rsidRPr="0034566F">
        <w:rPr>
          <w:rFonts w:ascii="Times New Roman" w:eastAsia="Times New Roman" w:hAnsi="Times New Roman" w:cs="Times New Roman"/>
          <w:i/>
          <w:color w:val="000000"/>
          <w:sz w:val="20"/>
          <w:szCs w:val="20"/>
          <w:lang w:val="es-ES"/>
        </w:rPr>
        <w:t xml:space="preserve">TÍTULO I. DE LOS PRINCIPIOS FUNDAMENTALES. Artículo 7. El Estado reconoce y protege la diversidad étnica y cultural de la nación colombiana. </w:t>
      </w:r>
      <w:r w:rsidRPr="009F58F3">
        <w:rPr>
          <w:rFonts w:ascii="Times New Roman" w:eastAsia="Times New Roman" w:hAnsi="Times New Roman" w:cs="Times New Roman"/>
          <w:iCs/>
          <w:color w:val="000000"/>
          <w:sz w:val="20"/>
          <w:szCs w:val="20"/>
        </w:rPr>
        <w:t>(COLÔMBIA, 1991).</w:t>
      </w:r>
    </w:p>
    <w:p w14:paraId="5D16F055" w14:textId="77777777" w:rsidR="002852F7" w:rsidRDefault="002852F7">
      <w:pPr>
        <w:pBdr>
          <w:top w:val="nil"/>
          <w:left w:val="nil"/>
          <w:bottom w:val="nil"/>
          <w:right w:val="nil"/>
          <w:between w:val="nil"/>
        </w:pBdr>
        <w:spacing w:line="360" w:lineRule="auto"/>
        <w:ind w:firstLine="851"/>
        <w:jc w:val="both"/>
        <w:rPr>
          <w:rFonts w:ascii="Calibri" w:eastAsia="Calibri" w:hAnsi="Calibri" w:cs="Calibri"/>
          <w:color w:val="000000"/>
        </w:rPr>
      </w:pPr>
    </w:p>
    <w:p w14:paraId="540ED374" w14:textId="77777777" w:rsidR="002852F7" w:rsidRDefault="00000000">
      <w:pPr>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A CP se expressa de maneira mais objetiva e reconhece o Estado colombiano como pluriétnico e multicultural, isto é, como um conjunto de grupos sociais, étnicos e culturais diferentes, singulares e com necessidades específicas, enquanto a Constituição brasileira reconhece a universalidade dos direitos e das pessoas, reconhecendo-as através da igualação das suas diferenças. </w:t>
      </w:r>
    </w:p>
    <w:p w14:paraId="57D2FC87" w14:textId="77777777" w:rsidR="002852F7" w:rsidRDefault="00000000">
      <w:pPr>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rPr>
        <w:t>A Constituição Cidadã não se exime de reconhecer as instituições indígenas e os direitos diferenciados aos povos originários, mas o faz em segundo plano no Capítulo XVIII. Destacam-se as disposições inéditas no país sobre a exploração de recursos hídricos e minerais, inclusive com potencial energético, em territórios indígenas e a legitimação desses povos para ingressarem em juízo independentemente de condições especiais. Em artigos esparsos no texto, reconhece o ensino básico nas línguas indígenas concomitantemente com a língua portuguesa e o dever do Estado de valorizar, proteger e difundir as culturas indígenas.</w:t>
      </w:r>
    </w:p>
    <w:p w14:paraId="542EBCC1" w14:textId="77777777" w:rsidR="002852F7" w:rsidRDefault="00000000">
      <w:pPr>
        <w:pBdr>
          <w:top w:val="nil"/>
          <w:left w:val="nil"/>
          <w:bottom w:val="nil"/>
          <w:right w:val="nil"/>
          <w:between w:val="nil"/>
        </w:pBdr>
        <w:spacing w:line="36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principal inovação jurídica advinda da Constituição Cidadã é o reconhecimento do direito originário dos povos indígenas positivado no caput do art. 231 sobre as terras que historicamente e tradicionalmente ocupam. É, pois, o reconhecimento do que o ex-ministro do Supremo Tribunal Federal, jurisconsulto e autor João Mendes Júnior classificou como Teoria do Indigenato </w:t>
      </w:r>
      <w:r>
        <w:rPr>
          <w:rFonts w:ascii="Times New Roman" w:eastAsia="Times New Roman" w:hAnsi="Times New Roman" w:cs="Times New Roman"/>
          <w:b/>
          <w:color w:val="000000"/>
        </w:rPr>
        <w:t>(</w:t>
      </w:r>
      <w:r>
        <w:rPr>
          <w:rFonts w:ascii="Times New Roman" w:eastAsia="Times New Roman" w:hAnsi="Times New Roman" w:cs="Times New Roman"/>
          <w:color w:val="000000"/>
        </w:rPr>
        <w:t>1912). Essa teoria, bem como a sua influência sobre a Constituição de 1988, pode ser ilustrada pelo seguinte trecho a seguir:</w:t>
      </w:r>
    </w:p>
    <w:p w14:paraId="200C1FAB" w14:textId="77777777" w:rsidR="002852F7" w:rsidRDefault="002852F7">
      <w:pPr>
        <w:pBdr>
          <w:top w:val="nil"/>
          <w:left w:val="nil"/>
          <w:bottom w:val="nil"/>
          <w:right w:val="nil"/>
          <w:between w:val="nil"/>
        </w:pBdr>
        <w:spacing w:line="360" w:lineRule="auto"/>
        <w:ind w:firstLine="709"/>
        <w:jc w:val="both"/>
        <w:rPr>
          <w:rFonts w:ascii="Calibri" w:eastAsia="Calibri" w:hAnsi="Calibri" w:cs="Calibri"/>
          <w:color w:val="000000"/>
        </w:rPr>
      </w:pPr>
    </w:p>
    <w:p w14:paraId="0C2797A6" w14:textId="66E3A7B5" w:rsidR="002852F7" w:rsidRDefault="00000000">
      <w:pPr>
        <w:pBdr>
          <w:top w:val="nil"/>
          <w:left w:val="nil"/>
          <w:bottom w:val="nil"/>
          <w:right w:val="nil"/>
          <w:between w:val="nil"/>
        </w:pBdr>
        <w:ind w:left="226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 teoria do indigenato foi desenvolvida por João Mendes Júnior no início do século XX e trouxe um relevante argumento para posse indígena sobre as terras tradicionalmente ocupadas. Tal teoria influenciou constitucionalistas e administrativistas para consolidação dos direitos territoriais indígenas no Brasil. A argumentação de Mendes Júnior considera séculos de exploração, exclusão e genocídio praticado contra os povos indígenas durante a colonização portuguesa no Brasil. Tal direito é considerado pelo referido autor como congênito, isto é, um direito inato, significando, portanto, que o direito dos povos indígenas às suas terras tradicionalmente ocupadas é anterior à própria criação do Estado brasileiro, devendo este último apenas demarcar e declarar os limites espaciais deste território. </w:t>
      </w:r>
      <w:r w:rsidR="009F58F3">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w:t>
      </w:r>
      <w:r w:rsidR="009F58F3">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Esta teoria tem sua importância por fornecer as bases do entendimento consolidado na Constituição Federal de 1988 sobre demarcação de terras indígenas. Assim, o direito à permanência dos povos indígenas em suas terras é uma fonte jurídica primária da posse territorial, um direito congênito característico do indivíduo membro daquela comunidade antes mesmo de seu nascimento (NOGUEIRA/MASSULO, 2019).</w:t>
      </w:r>
    </w:p>
    <w:p w14:paraId="65F17B71" w14:textId="77777777" w:rsidR="002852F7" w:rsidRDefault="002852F7">
      <w:pPr>
        <w:pBdr>
          <w:top w:val="nil"/>
          <w:left w:val="nil"/>
          <w:bottom w:val="nil"/>
          <w:right w:val="nil"/>
          <w:between w:val="nil"/>
        </w:pBdr>
        <w:ind w:left="2268"/>
        <w:jc w:val="both"/>
        <w:rPr>
          <w:rFonts w:ascii="Times New Roman" w:eastAsia="Times New Roman" w:hAnsi="Times New Roman" w:cs="Times New Roman"/>
          <w:color w:val="000000"/>
          <w:sz w:val="20"/>
          <w:szCs w:val="20"/>
        </w:rPr>
      </w:pPr>
    </w:p>
    <w:p w14:paraId="7C198A78" w14:textId="77777777" w:rsidR="002852F7" w:rsidRDefault="002852F7">
      <w:pPr>
        <w:pBdr>
          <w:top w:val="nil"/>
          <w:left w:val="nil"/>
          <w:bottom w:val="nil"/>
          <w:right w:val="nil"/>
          <w:between w:val="nil"/>
        </w:pBdr>
        <w:ind w:left="2268"/>
        <w:jc w:val="both"/>
        <w:rPr>
          <w:rFonts w:ascii="Calibri" w:eastAsia="Calibri" w:hAnsi="Calibri" w:cs="Calibri"/>
          <w:color w:val="000000"/>
          <w:sz w:val="20"/>
          <w:szCs w:val="20"/>
        </w:rPr>
      </w:pPr>
    </w:p>
    <w:p w14:paraId="7AE2176D" w14:textId="77777777" w:rsidR="002852F7" w:rsidRDefault="00000000">
      <w:pPr>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Além do direito originário de posse dos povos indígenas sobre as terras que tradicionalmente ocupam, no caput do art. 231, o Constituinte destinou complementarmente </w:t>
      </w:r>
      <w:r>
        <w:rPr>
          <w:rFonts w:ascii="Times New Roman" w:eastAsia="Times New Roman" w:hAnsi="Times New Roman" w:cs="Times New Roman"/>
          <w:color w:val="000000"/>
        </w:rPr>
        <w:lastRenderedPageBreak/>
        <w:t xml:space="preserve">sete parágrafos versando sobre a classificação, o usufruto e a exploração das terras indígenas, tornando estas o foco do Direito Indigenista constitucional. O art. 231 ainda prevê o dever do Estado em demarcar as terras tradicionais dos povos indígenas e o art. 67 dos ADCT determina o prazo de cinco anos, a partir da promulgação da Constituição, para o cumprimento. </w:t>
      </w:r>
    </w:p>
    <w:p w14:paraId="4EA997EC" w14:textId="77777777" w:rsidR="002852F7" w:rsidRDefault="00000000">
      <w:pPr>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rPr>
        <w:t>A Constituição de 1988 inova outra vez ao reconhecer em seu art. 232 a capacidade processual dos povos indígenas, que não depende mais do grau de integração e assimilação destes à comunhão nacional – como previa o Direito brasileiro até a promulgação da Constituição. Com a intervenção do Ministério Público, qualquer indígena, comunidade indígena ou organização indígena possui legitimidade para acionar o judiciário em busca dos seus direitos e atuar como parte.</w:t>
      </w:r>
    </w:p>
    <w:p w14:paraId="5B362527" w14:textId="77777777" w:rsidR="002852F7" w:rsidRDefault="00000000">
      <w:pPr>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CP também reconhece e protege as culturas indígenas, determinando o dever concorrente do Estado e da sociedade de proteger essas culturas e promover o ensino público bilíngue, respeitando as línguas indígenas e reconhecendo-as oficialmente em seus territórios. Diferentemente da Constituição Cidadã, a CP reconhece esses direitos como princípios fundamentais da Constituição e do Estado. </w:t>
      </w:r>
    </w:p>
    <w:p w14:paraId="473C4300" w14:textId="77777777" w:rsidR="002852F7" w:rsidRDefault="00000000">
      <w:pPr>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rPr>
        <w:t>O principal advento da CP no tocante ao Direito Indigenista é a criação de três figuras jurídicas inovadoras e complexas, a Jurisdição Especial Indígena (JEI), a Circunscrição Especial Indígena (CEI) e a Entidade Territorial Indígena (ETI). A primeira reconhece através do art. 246 o direito à autodeterminação, conferindo aos povos indígenas amplos poderes jurisdicionais dentro de seus territórios e a liberdade de estabelecer e desenvolver instituições e procedimentos normativos próprios, desde que não confrontem a Constituição ou a legislação nacional.</w:t>
      </w:r>
    </w:p>
    <w:p w14:paraId="6DE33E2C" w14:textId="77777777" w:rsidR="002852F7" w:rsidRDefault="00000000">
      <w:pPr>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rPr>
        <w:t>A CP reserva, dentro do Congresso Nacional da Colômbia, cadeiras especiais para representantes dos povos indígenas, a CEI (art. 171). Esse instituto jurídico reserva duas cadeiras no Senado e uma na Câmara dos Representantes aos congressistas indígenas eleitos por meio do sistema de quociente eleitoral. Estabelece, também, os requisitos para ocupar essas cadeiras, sendo necessário que o candidato possua representatividade e experiência como líder de uma comunidade ou organização indígena certificada e expedida pela organização indígena competente e reconhecida pelo Governo.</w:t>
      </w:r>
    </w:p>
    <w:p w14:paraId="41D522C2" w14:textId="77777777" w:rsidR="002852F7" w:rsidRPr="00344C21" w:rsidRDefault="00000000">
      <w:pPr>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Em relação às terras indígenas, inicialmente, a CP de 1991 institui o </w:t>
      </w:r>
      <w:r>
        <w:rPr>
          <w:rFonts w:ascii="Times New Roman" w:eastAsia="Times New Roman" w:hAnsi="Times New Roman" w:cs="Times New Roman"/>
          <w:i/>
          <w:color w:val="000000"/>
        </w:rPr>
        <w:t>Resguardo</w:t>
      </w:r>
      <w:r>
        <w:rPr>
          <w:rFonts w:ascii="Times New Roman" w:eastAsia="Times New Roman" w:hAnsi="Times New Roman" w:cs="Times New Roman"/>
          <w:color w:val="000000"/>
        </w:rPr>
        <w:t xml:space="preserve"> por meio dos arts. 63 e 329, definindo as terras sob esse regime como bens coletivos inalienáveis, </w:t>
      </w:r>
      <w:r>
        <w:rPr>
          <w:rFonts w:ascii="Times New Roman" w:eastAsia="Times New Roman" w:hAnsi="Times New Roman" w:cs="Times New Roman"/>
          <w:color w:val="000000"/>
        </w:rPr>
        <w:lastRenderedPageBreak/>
        <w:t xml:space="preserve">imprescritíveis </w:t>
      </w:r>
      <w:r w:rsidRPr="00344C21">
        <w:rPr>
          <w:rFonts w:ascii="Times New Roman" w:eastAsia="Times New Roman" w:hAnsi="Times New Roman" w:cs="Times New Roman"/>
          <w:color w:val="000000"/>
        </w:rPr>
        <w:t>e impenhoráveis. Essa figura jurídica antecede a constituinte de 1991, tendo sido apenas reconhecida por esta, e remonta ao período colonial colombiano:</w:t>
      </w:r>
    </w:p>
    <w:p w14:paraId="28A34139" w14:textId="77777777" w:rsidR="002852F7" w:rsidRPr="00344C21" w:rsidRDefault="002852F7">
      <w:pPr>
        <w:pBdr>
          <w:top w:val="nil"/>
          <w:left w:val="nil"/>
          <w:bottom w:val="nil"/>
          <w:right w:val="nil"/>
          <w:between w:val="nil"/>
        </w:pBdr>
        <w:spacing w:line="360" w:lineRule="auto"/>
        <w:ind w:firstLine="851"/>
        <w:jc w:val="both"/>
        <w:rPr>
          <w:rFonts w:ascii="Times New Roman" w:eastAsia="Calibri" w:hAnsi="Times New Roman" w:cs="Times New Roman"/>
          <w:color w:val="000000"/>
        </w:rPr>
      </w:pPr>
    </w:p>
    <w:p w14:paraId="09AB6EE9" w14:textId="18522463" w:rsidR="002852F7" w:rsidRPr="00344C21" w:rsidRDefault="00000000" w:rsidP="00344C21">
      <w:pPr>
        <w:pBdr>
          <w:top w:val="nil"/>
          <w:left w:val="nil"/>
          <w:bottom w:val="nil"/>
          <w:right w:val="nil"/>
          <w:between w:val="nil"/>
        </w:pBdr>
        <w:ind w:left="2268"/>
        <w:jc w:val="both"/>
        <w:rPr>
          <w:rFonts w:ascii="Times New Roman" w:eastAsia="Times New Roman" w:hAnsi="Times New Roman" w:cs="Times New Roman"/>
          <w:i/>
          <w:color w:val="000000"/>
          <w:sz w:val="22"/>
          <w:szCs w:val="22"/>
        </w:rPr>
      </w:pPr>
      <w:r w:rsidRPr="00344C21">
        <w:rPr>
          <w:rFonts w:ascii="Times New Roman" w:eastAsia="Times New Roman" w:hAnsi="Times New Roman" w:cs="Times New Roman"/>
          <w:i/>
          <w:color w:val="000000"/>
          <w:sz w:val="20"/>
          <w:szCs w:val="20"/>
          <w:lang w:val="es-ES"/>
        </w:rPr>
        <w:t>La institución de los resguardos se remite al repartimiento español, que era la repartición y asignación de las tierras a los indígenas. En los siglos XVII y XVIII no se trazaron límites precisos, sino que se designaba a la tierra según puntos y camiños dentro de cuya superfície debían asentarse los indígenas. En el caso del resguardo, se trató de la figura de propriedad de la tierra comunal para los indígenas [pleno domínio y propriedad], que debía ser no enajenable y que era confirmada mediante otorgamiento</w:t>
      </w:r>
      <w:r w:rsidRPr="0034566F">
        <w:rPr>
          <w:rFonts w:ascii="Times New Roman" w:eastAsia="Times New Roman" w:hAnsi="Times New Roman" w:cs="Times New Roman"/>
          <w:i/>
          <w:color w:val="000000"/>
          <w:sz w:val="20"/>
          <w:szCs w:val="20"/>
          <w:lang w:val="es-ES"/>
        </w:rPr>
        <w:t xml:space="preserve"> de títulos sobre las tierras. </w:t>
      </w:r>
      <w:r w:rsidR="009F58F3">
        <w:rPr>
          <w:rFonts w:ascii="Times New Roman" w:eastAsia="Times New Roman" w:hAnsi="Times New Roman" w:cs="Times New Roman"/>
          <w:i/>
          <w:color w:val="000000"/>
          <w:sz w:val="20"/>
          <w:szCs w:val="20"/>
          <w:lang w:val="es-ES"/>
        </w:rPr>
        <w:t>[…]</w:t>
      </w:r>
      <w:r w:rsidRPr="0034566F">
        <w:rPr>
          <w:rFonts w:ascii="Times New Roman" w:eastAsia="Times New Roman" w:hAnsi="Times New Roman" w:cs="Times New Roman"/>
          <w:i/>
          <w:color w:val="000000"/>
          <w:sz w:val="20"/>
          <w:szCs w:val="20"/>
          <w:lang w:val="es-ES"/>
        </w:rPr>
        <w:t xml:space="preserve"> hacia fines del siglo XVIII se prohibió la constitución de nuevos resguardos y los existentes fueron integrados sucesivamente  a las parroquias de la población española y criolla. El primer presidente de Colombia y libertador, Simón Bolívar, dispuso por decreto de 1820 la devolución de los resguardos a los indígenas </w:t>
      </w:r>
      <w:r w:rsidRPr="00344C21">
        <w:rPr>
          <w:rFonts w:ascii="Times New Roman" w:eastAsia="Times New Roman" w:hAnsi="Times New Roman" w:cs="Times New Roman"/>
          <w:iCs/>
          <w:color w:val="000000"/>
          <w:sz w:val="20"/>
          <w:szCs w:val="20"/>
        </w:rPr>
        <w:t>(SEMPER, 2006, p. 768)</w:t>
      </w:r>
      <w:r w:rsidRPr="00344C21">
        <w:rPr>
          <w:rFonts w:ascii="Times New Roman" w:eastAsia="Times New Roman" w:hAnsi="Times New Roman" w:cs="Times New Roman"/>
          <w:iCs/>
          <w:color w:val="000000"/>
          <w:sz w:val="22"/>
          <w:szCs w:val="22"/>
        </w:rPr>
        <w:t>.</w:t>
      </w:r>
    </w:p>
    <w:p w14:paraId="48DDAF45" w14:textId="77777777" w:rsidR="00344C21" w:rsidRDefault="00344C21">
      <w:pPr>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p>
    <w:p w14:paraId="10CA9566" w14:textId="0F299249" w:rsidR="002852F7" w:rsidRPr="00344C21" w:rsidRDefault="00000000">
      <w:pPr>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Durante a Assembleia Constituinte, o </w:t>
      </w:r>
      <w:r>
        <w:rPr>
          <w:rFonts w:ascii="Times New Roman" w:eastAsia="Times New Roman" w:hAnsi="Times New Roman" w:cs="Times New Roman"/>
          <w:i/>
          <w:color w:val="000000"/>
        </w:rPr>
        <w:t>Resguardo</w:t>
      </w:r>
      <w:r>
        <w:rPr>
          <w:rFonts w:ascii="Times New Roman" w:eastAsia="Times New Roman" w:hAnsi="Times New Roman" w:cs="Times New Roman"/>
          <w:color w:val="000000"/>
        </w:rPr>
        <w:t xml:space="preserve"> foi alvo de questionamentos por organizações indígenas e indigenistas por ser obsoleto, por contemplar os povos indígenas de maneira restrita e por não serem suas terras tradicionais, não acompanhando os avanços do tema no Direito Internacional. Sem prejuízo do </w:t>
      </w:r>
      <w:r>
        <w:rPr>
          <w:rFonts w:ascii="Times New Roman" w:eastAsia="Times New Roman" w:hAnsi="Times New Roman" w:cs="Times New Roman"/>
          <w:i/>
          <w:color w:val="000000"/>
        </w:rPr>
        <w:t>Resguardo</w:t>
      </w:r>
      <w:r>
        <w:rPr>
          <w:rFonts w:ascii="Times New Roman" w:eastAsia="Times New Roman" w:hAnsi="Times New Roman" w:cs="Times New Roman"/>
          <w:color w:val="000000"/>
        </w:rPr>
        <w:t xml:space="preserve"> e buscando sanar a demanda dos povos indígenas, a </w:t>
      </w:r>
      <w:r w:rsidRPr="00344C21">
        <w:rPr>
          <w:rFonts w:ascii="Times New Roman" w:eastAsia="Times New Roman" w:hAnsi="Times New Roman" w:cs="Times New Roman"/>
          <w:color w:val="000000"/>
        </w:rPr>
        <w:t>Constituinte inaugurou a figura jurídica da ETI:</w:t>
      </w:r>
    </w:p>
    <w:p w14:paraId="46D218BC" w14:textId="77777777" w:rsidR="002852F7" w:rsidRPr="00344C21" w:rsidRDefault="002852F7">
      <w:pPr>
        <w:pBdr>
          <w:top w:val="nil"/>
          <w:left w:val="nil"/>
          <w:bottom w:val="nil"/>
          <w:right w:val="nil"/>
          <w:between w:val="nil"/>
        </w:pBdr>
        <w:spacing w:line="360" w:lineRule="auto"/>
        <w:ind w:firstLine="851"/>
        <w:jc w:val="both"/>
        <w:rPr>
          <w:rFonts w:ascii="Times New Roman" w:eastAsia="Calibri" w:hAnsi="Times New Roman" w:cs="Times New Roman"/>
          <w:color w:val="000000"/>
        </w:rPr>
      </w:pPr>
    </w:p>
    <w:p w14:paraId="2F78ABA7" w14:textId="0D47A09E" w:rsidR="002852F7" w:rsidRPr="00344C21" w:rsidRDefault="00000000" w:rsidP="00344C21">
      <w:pPr>
        <w:pBdr>
          <w:top w:val="nil"/>
          <w:left w:val="nil"/>
          <w:bottom w:val="nil"/>
          <w:right w:val="nil"/>
          <w:between w:val="nil"/>
        </w:pBdr>
        <w:ind w:left="2268"/>
        <w:jc w:val="both"/>
        <w:rPr>
          <w:rFonts w:ascii="Times New Roman" w:eastAsia="Times New Roman" w:hAnsi="Times New Roman" w:cs="Times New Roman"/>
          <w:color w:val="000000"/>
          <w:sz w:val="20"/>
          <w:szCs w:val="20"/>
        </w:rPr>
      </w:pPr>
      <w:r w:rsidRPr="00344C21">
        <w:rPr>
          <w:rFonts w:ascii="Times New Roman" w:eastAsia="Times New Roman" w:hAnsi="Times New Roman" w:cs="Times New Roman"/>
          <w:i/>
          <w:color w:val="000000"/>
          <w:sz w:val="20"/>
          <w:szCs w:val="20"/>
          <w:lang w:val="es-ES"/>
        </w:rPr>
        <w:t xml:space="preserve">A primera vista, la cuestión de las tierras parece estar resuelta de manera bastante satisfactoria en Colombia a través del modelo de los resguardos, porque un porcentaje de los pueblos y las comunidades indígenas vive dentro de superfícies tituladas. Pero, a pesar del elevado porcentaje de superfícies assignadas oficialmente a los indígenas, en muchos casos éstas son insuficientes para una adecuada explotación, ya que se trata básicamente de tierras de calidad inferior. </w:t>
      </w:r>
      <w:r w:rsidR="009F58F3">
        <w:rPr>
          <w:rFonts w:ascii="Times New Roman" w:eastAsia="Times New Roman" w:hAnsi="Times New Roman" w:cs="Times New Roman"/>
          <w:i/>
          <w:color w:val="000000"/>
          <w:sz w:val="20"/>
          <w:szCs w:val="20"/>
          <w:lang w:val="es-ES"/>
        </w:rPr>
        <w:t>[</w:t>
      </w:r>
      <w:r w:rsidRPr="00344C21">
        <w:rPr>
          <w:rFonts w:ascii="Times New Roman" w:eastAsia="Times New Roman" w:hAnsi="Times New Roman" w:cs="Times New Roman"/>
          <w:i/>
          <w:color w:val="000000"/>
          <w:sz w:val="20"/>
          <w:szCs w:val="20"/>
          <w:lang w:val="es-ES"/>
        </w:rPr>
        <w:t>...</w:t>
      </w:r>
      <w:r w:rsidR="009F58F3">
        <w:rPr>
          <w:rFonts w:ascii="Times New Roman" w:eastAsia="Times New Roman" w:hAnsi="Times New Roman" w:cs="Times New Roman"/>
          <w:i/>
          <w:color w:val="000000"/>
          <w:sz w:val="20"/>
          <w:szCs w:val="20"/>
          <w:lang w:val="es-ES"/>
        </w:rPr>
        <w:t>]</w:t>
      </w:r>
      <w:r w:rsidRPr="00344C21">
        <w:rPr>
          <w:rFonts w:ascii="Times New Roman" w:eastAsia="Times New Roman" w:hAnsi="Times New Roman" w:cs="Times New Roman"/>
          <w:i/>
          <w:color w:val="000000"/>
          <w:sz w:val="20"/>
          <w:szCs w:val="20"/>
          <w:lang w:val="es-ES"/>
        </w:rPr>
        <w:t xml:space="preserve"> El resguardo es una invención de la época colonial que perdura en el presente. Sin embargo, ya no se condice con las ideas actuales de los indígenas sobre su tierra. Por eso durante las sesiones de la Asamblea Constituyente se desarrollaron conceptos más amplios respecto de los territorios indígenas  [as ETI´s], que fueron volcados al texto constitucional sin que quedara claro qué relación guardan las diferentes figuras jurídicas entre sí</w:t>
      </w:r>
      <w:r w:rsidR="00344C21">
        <w:rPr>
          <w:rFonts w:ascii="Times New Roman" w:eastAsia="Times New Roman" w:hAnsi="Times New Roman" w:cs="Times New Roman"/>
          <w:i/>
          <w:color w:val="000000"/>
          <w:sz w:val="20"/>
          <w:szCs w:val="20"/>
          <w:lang w:val="es-ES"/>
        </w:rPr>
        <w:t xml:space="preserve"> </w:t>
      </w:r>
      <w:r w:rsidRPr="00344C21">
        <w:rPr>
          <w:rFonts w:ascii="Times New Roman" w:eastAsia="Times New Roman" w:hAnsi="Times New Roman" w:cs="Times New Roman"/>
          <w:i/>
          <w:color w:val="000000"/>
          <w:sz w:val="20"/>
          <w:szCs w:val="20"/>
          <w:lang w:val="es-ES"/>
        </w:rPr>
        <w:t xml:space="preserve"> </w:t>
      </w:r>
      <w:r w:rsidRPr="00344C21">
        <w:rPr>
          <w:rFonts w:ascii="Times New Roman" w:eastAsia="Times New Roman" w:hAnsi="Times New Roman" w:cs="Times New Roman"/>
          <w:iCs/>
          <w:color w:val="000000"/>
          <w:sz w:val="20"/>
          <w:szCs w:val="20"/>
        </w:rPr>
        <w:t>(SEMPER, 2006, p. 767).</w:t>
      </w:r>
    </w:p>
    <w:p w14:paraId="4AEA1CED" w14:textId="77777777" w:rsidR="00344C21" w:rsidRDefault="00344C21">
      <w:pPr>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p>
    <w:p w14:paraId="435E0248" w14:textId="2D59038E" w:rsidR="002852F7" w:rsidRDefault="00000000">
      <w:pPr>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r w:rsidRPr="00344C21">
        <w:rPr>
          <w:rFonts w:ascii="Times New Roman" w:eastAsia="Times New Roman" w:hAnsi="Times New Roman" w:cs="Times New Roman"/>
          <w:color w:val="000000"/>
        </w:rPr>
        <w:t>O art. 286 define as Entidades</w:t>
      </w:r>
      <w:r>
        <w:rPr>
          <w:rFonts w:ascii="Times New Roman" w:eastAsia="Times New Roman" w:hAnsi="Times New Roman" w:cs="Times New Roman"/>
          <w:color w:val="000000"/>
        </w:rPr>
        <w:t xml:space="preserve"> Territoriais como unidades administrativas do Estado colombiano (departamentos, distritos e municípios) e ainda classifica as ETI´s como uma dessas unidades. As figuras jurídicas da ETI e do </w:t>
      </w:r>
      <w:r>
        <w:rPr>
          <w:rFonts w:ascii="Times New Roman" w:eastAsia="Times New Roman" w:hAnsi="Times New Roman" w:cs="Times New Roman"/>
          <w:i/>
          <w:color w:val="000000"/>
        </w:rPr>
        <w:t>Resguardo</w:t>
      </w:r>
      <w:r>
        <w:rPr>
          <w:rFonts w:ascii="Times New Roman" w:eastAsia="Times New Roman" w:hAnsi="Times New Roman" w:cs="Times New Roman"/>
          <w:color w:val="000000"/>
        </w:rPr>
        <w:t xml:space="preserve"> são diferentes e versam sobre o mesmo objeto, as terras indígenas.</w:t>
      </w:r>
    </w:p>
    <w:p w14:paraId="088A4B1E" w14:textId="77777777" w:rsidR="002852F7" w:rsidRDefault="00000000">
      <w:pPr>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Ao adotar ambas, a CP não estabeleceu qual relação essas duas figuras jurídicas possuem entre si, tampouco as diferenças mais específicas entre elas. Entende-se que o </w:t>
      </w:r>
      <w:r>
        <w:rPr>
          <w:rFonts w:ascii="Times New Roman" w:eastAsia="Times New Roman" w:hAnsi="Times New Roman" w:cs="Times New Roman"/>
          <w:i/>
          <w:color w:val="000000"/>
        </w:rPr>
        <w:t>Resguardo</w:t>
      </w:r>
      <w:r>
        <w:rPr>
          <w:rFonts w:ascii="Times New Roman" w:eastAsia="Times New Roman" w:hAnsi="Times New Roman" w:cs="Times New Roman"/>
          <w:color w:val="000000"/>
        </w:rPr>
        <w:t xml:space="preserve"> configura apenas o direito coletivo de posse e propriedade sobre a terra, atuando </w:t>
      </w:r>
      <w:r>
        <w:rPr>
          <w:rFonts w:ascii="Times New Roman" w:eastAsia="Times New Roman" w:hAnsi="Times New Roman" w:cs="Times New Roman"/>
          <w:color w:val="000000"/>
        </w:rPr>
        <w:lastRenderedPageBreak/>
        <w:t xml:space="preserve">como uma proteção mínima das terras indígenas, enquanto a ETI é uma espécie de evolução do </w:t>
      </w:r>
      <w:r>
        <w:rPr>
          <w:rFonts w:ascii="Times New Roman" w:eastAsia="Times New Roman" w:hAnsi="Times New Roman" w:cs="Times New Roman"/>
          <w:i/>
          <w:color w:val="000000"/>
        </w:rPr>
        <w:t>Resguardo</w:t>
      </w:r>
      <w:r>
        <w:rPr>
          <w:rFonts w:ascii="Times New Roman" w:eastAsia="Times New Roman" w:hAnsi="Times New Roman" w:cs="Times New Roman"/>
          <w:color w:val="000000"/>
        </w:rPr>
        <w:t xml:space="preserve"> a ser aplicada de maneira gradativa, a transformação do território indígena em uma unidade político-administrativa do Estado e, pois, uma personalidade jurídica de direito interno (GARZÓN, 2008, p. 47).</w:t>
      </w:r>
    </w:p>
    <w:p w14:paraId="3C7071E6" w14:textId="77777777" w:rsidR="002852F7" w:rsidRDefault="00000000">
      <w:pPr>
        <w:pBdr>
          <w:top w:val="nil"/>
          <w:left w:val="nil"/>
          <w:bottom w:val="nil"/>
          <w:right w:val="nil"/>
          <w:between w:val="nil"/>
        </w:pBdr>
        <w:spacing w:line="36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A CP criou a Corte Constitucional (CC) da Colômbia como tribunal independente da Suprema Corte. Inaugurada pelo art. 86, esse tribunal exerce a função de controle e interpretação das normas constitucionais. No mesmo artigo, é inaugurada a Ação de Tutela, por meio da qual é permitido a qualquer pessoa pleitear a garantia imediata de seus direitos constitucionais perante a CC, através de um procedimento preferencial e sumário nos termos da CP.</w:t>
      </w:r>
    </w:p>
    <w:p w14:paraId="40CE60A4" w14:textId="77777777" w:rsidR="002852F7" w:rsidRDefault="00000000">
      <w:pPr>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rPr>
        <w:t>As constituições brasileira e colombiana reconhecem o direito de participação e consulta dos povos indígenas nas ações e decisões do Estado sobre a exploração dos recursos naturais localizados em territórios indígenas, bem como delimitam o direito territorial dos povos indígenas apenas à posse e usufruto das terras. Em uma análise superficial, que priorize a literalidade do texto normativo, a Constituição Cidadã e CP se apresentam, a princípio, como as principais fontes do Direito Indigenista e como uma grande conquista dos povos indígenas desses países.</w:t>
      </w:r>
    </w:p>
    <w:p w14:paraId="485E567C" w14:textId="77777777" w:rsidR="002852F7" w:rsidRDefault="002852F7">
      <w:pPr>
        <w:pBdr>
          <w:top w:val="nil"/>
          <w:left w:val="nil"/>
          <w:bottom w:val="nil"/>
          <w:right w:val="nil"/>
          <w:between w:val="nil"/>
        </w:pBdr>
        <w:spacing w:line="360" w:lineRule="auto"/>
        <w:ind w:firstLine="851"/>
        <w:jc w:val="both"/>
        <w:rPr>
          <w:rFonts w:ascii="Calibri" w:eastAsia="Calibri" w:hAnsi="Calibri" w:cs="Calibri"/>
          <w:color w:val="000000"/>
        </w:rPr>
      </w:pPr>
    </w:p>
    <w:p w14:paraId="6628A3E4" w14:textId="77777777" w:rsidR="002852F7"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4. Entre Abstracionismos, “Delegacionismos” e Interesses</w:t>
      </w:r>
    </w:p>
    <w:p w14:paraId="402461A8" w14:textId="77777777" w:rsidR="002852F7" w:rsidRDefault="002852F7">
      <w:pPr>
        <w:pBdr>
          <w:top w:val="nil"/>
          <w:left w:val="nil"/>
          <w:bottom w:val="nil"/>
          <w:right w:val="nil"/>
          <w:between w:val="nil"/>
        </w:pBdr>
        <w:spacing w:line="360" w:lineRule="auto"/>
        <w:ind w:left="1440"/>
        <w:jc w:val="both"/>
        <w:rPr>
          <w:rFonts w:ascii="Calibri" w:eastAsia="Calibri" w:hAnsi="Calibri" w:cs="Calibri"/>
          <w:b/>
          <w:color w:val="000000"/>
        </w:rPr>
      </w:pPr>
    </w:p>
    <w:p w14:paraId="4EC33F39" w14:textId="77777777" w:rsidR="002852F7" w:rsidRDefault="00000000">
      <w:pPr>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Apesar do marco histórico que a promulgação das constituições em análise representou para o Direito Indigenista e para os povos indígenas de Brasil e Colômbia, existem em ambas as cartas, e em suas respectivas assembleias constituintes, meandros do ponto de vista semântico, jurídico e político que induzem ao questionamento sobre o real interesse e intuito do Estado e da sociedade em reconhecer esses direitos aos povos indígenas. </w:t>
      </w:r>
    </w:p>
    <w:p w14:paraId="335D5BB4" w14:textId="77777777" w:rsidR="002852F7" w:rsidRDefault="00000000">
      <w:pPr>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No art. 231 da CF/88, os direitos de posse e usufruto dos povos indígenas sobre as terras que tradicionalmente ocupam não são absolutos, pois o § 3º possibilita a exploração dos territórios indígenas sob a aprovação do Poder Legislativo e a remoção destes em caso de interesse da soberania do País, sem conceituar e dimensionar esse interesse, condicionando-o apenas à vontade política do Congresso Nacional. </w:t>
      </w:r>
    </w:p>
    <w:p w14:paraId="1F93D4BF" w14:textId="77777777" w:rsidR="002852F7" w:rsidRDefault="00000000">
      <w:pPr>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Na Constituição Cidadã, o objeto sobre o qual o Constituinte versou de maneira mais interessada foi </w:t>
      </w:r>
      <w:r>
        <w:rPr>
          <w:rFonts w:ascii="Times New Roman" w:eastAsia="Times New Roman" w:hAnsi="Times New Roman" w:cs="Times New Roman"/>
        </w:rPr>
        <w:t>às terras</w:t>
      </w:r>
      <w:r>
        <w:rPr>
          <w:rFonts w:ascii="Times New Roman" w:eastAsia="Times New Roman" w:hAnsi="Times New Roman" w:cs="Times New Roman"/>
          <w:color w:val="000000"/>
        </w:rPr>
        <w:t xml:space="preserve"> indígenas, evidenciando assim, a manutenção da tendência que caracterizou a política e o Direito Indigenista no Brasil desde o seu período colonial. Trinta anos após o fim do prazo constitucional para a demarcação de todas as terras indígenas, ainda existem 728 em diferentes etapas do processo demarcatório, além daquelas que sequer tiveram o processo demarcatório iniciado ou reconhecido. </w:t>
      </w:r>
    </w:p>
    <w:p w14:paraId="05555A63" w14:textId="77777777" w:rsidR="002852F7" w:rsidRDefault="00000000">
      <w:pPr>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Pode-se questionar outras disposições da Constituição brasileira, como o art. 215, que reconhece as expressões culturais indígenas e prescreve ao Estado o dever de protegê-las e incentivá-las. Esse artigo é de extrema importância no contexto social brasileiro vide o longo processo de folclorização e redução das tradições dos povos indígenas pelo colonizador. O Estado se exime dessa função e, frequentemente, contribui com esse processo. Uma expressão simbólica dessa negligência estatal é a manutenção institucional da nomenclatura “Índio” para se referir aos habitantes originários do país, denominando o dia 19/04 como Dia do Índio, a Lei 6.001 como Estatuto do Índio ou o Capítulo VIII da Constituição como “Dos Índios”. Para o professor Daniel Munduruku:</w:t>
      </w:r>
    </w:p>
    <w:p w14:paraId="367947E1" w14:textId="77777777" w:rsidR="002852F7" w:rsidRDefault="002852F7">
      <w:pPr>
        <w:pBdr>
          <w:top w:val="nil"/>
          <w:left w:val="nil"/>
          <w:bottom w:val="nil"/>
          <w:right w:val="nil"/>
          <w:between w:val="nil"/>
        </w:pBdr>
        <w:shd w:val="clear" w:color="auto" w:fill="FFFFFF"/>
        <w:spacing w:line="360" w:lineRule="auto"/>
        <w:ind w:firstLine="709"/>
        <w:jc w:val="both"/>
        <w:rPr>
          <w:rFonts w:ascii="Calibri" w:eastAsia="Calibri" w:hAnsi="Calibri" w:cs="Calibri"/>
          <w:color w:val="000000"/>
        </w:rPr>
      </w:pPr>
    </w:p>
    <w:p w14:paraId="65C75A41" w14:textId="7534DB39" w:rsidR="002852F7" w:rsidRDefault="00000000">
      <w:pPr>
        <w:pBdr>
          <w:top w:val="nil"/>
          <w:left w:val="nil"/>
          <w:bottom w:val="nil"/>
          <w:right w:val="nil"/>
          <w:between w:val="nil"/>
        </w:pBdr>
        <w:shd w:val="clear" w:color="auto" w:fill="FFFFFF"/>
        <w:ind w:left="226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highlight w:val="white"/>
        </w:rPr>
        <w:t xml:space="preserve">Quando a gente comemora o Dia do Índio, estamos comemorando uma ficção </w:t>
      </w:r>
      <w:r w:rsidR="00344C21">
        <w:rPr>
          <w:rFonts w:ascii="Times New Roman" w:eastAsia="Times New Roman" w:hAnsi="Times New Roman" w:cs="Times New Roman"/>
          <w:color w:val="000000"/>
          <w:sz w:val="20"/>
          <w:szCs w:val="20"/>
          <w:highlight w:val="white"/>
        </w:rPr>
        <w:t>[</w:t>
      </w:r>
      <w:r>
        <w:rPr>
          <w:rFonts w:ascii="Times New Roman" w:eastAsia="Times New Roman" w:hAnsi="Times New Roman" w:cs="Times New Roman"/>
          <w:color w:val="000000"/>
          <w:sz w:val="20"/>
          <w:szCs w:val="20"/>
          <w:highlight w:val="white"/>
        </w:rPr>
        <w:t>...</w:t>
      </w:r>
      <w:r w:rsidR="00344C21">
        <w:rPr>
          <w:rFonts w:ascii="Times New Roman" w:eastAsia="Times New Roman" w:hAnsi="Times New Roman" w:cs="Times New Roman"/>
          <w:color w:val="000000"/>
          <w:sz w:val="20"/>
          <w:szCs w:val="20"/>
          <w:highlight w:val="white"/>
        </w:rPr>
        <w:t>].</w:t>
      </w:r>
      <w:r>
        <w:rPr>
          <w:rFonts w:ascii="Times New Roman" w:eastAsia="Times New Roman" w:hAnsi="Times New Roman" w:cs="Times New Roman"/>
          <w:color w:val="000000"/>
          <w:sz w:val="20"/>
          <w:szCs w:val="20"/>
          <w:highlight w:val="white"/>
        </w:rPr>
        <w:t xml:space="preserve"> É uma ideia folclórica e preconceituosa. A palavra 'indígena' diz muito mais a nosso respeito do que a palavra 'índio'. Indígena quer dizer originário, aquele que está ali antes dos outros. Do meu ponto de vista, a palavra índio perdeu o seu sentido. É uma palavra que só desqualifica, remonta a preconceitos. </w:t>
      </w:r>
      <w:r w:rsidR="00344C21">
        <w:rPr>
          <w:rFonts w:ascii="Times New Roman" w:eastAsia="Times New Roman" w:hAnsi="Times New Roman" w:cs="Times New Roman"/>
          <w:color w:val="000000"/>
          <w:sz w:val="20"/>
          <w:szCs w:val="20"/>
          <w:highlight w:val="white"/>
        </w:rPr>
        <w:t>[</w:t>
      </w:r>
      <w:r>
        <w:rPr>
          <w:rFonts w:ascii="Times New Roman" w:eastAsia="Times New Roman" w:hAnsi="Times New Roman" w:cs="Times New Roman"/>
          <w:color w:val="000000"/>
          <w:sz w:val="20"/>
          <w:szCs w:val="20"/>
          <w:highlight w:val="white"/>
        </w:rPr>
        <w:t>...</w:t>
      </w:r>
      <w:r w:rsidR="00344C21">
        <w:rPr>
          <w:rFonts w:ascii="Times New Roman" w:eastAsia="Times New Roman" w:hAnsi="Times New Roman" w:cs="Times New Roman"/>
          <w:color w:val="000000"/>
          <w:sz w:val="20"/>
          <w:szCs w:val="20"/>
          <w:highlight w:val="white"/>
        </w:rPr>
        <w:t>]</w:t>
      </w:r>
      <w:r>
        <w:rPr>
          <w:rFonts w:ascii="Times New Roman" w:eastAsia="Times New Roman" w:hAnsi="Times New Roman" w:cs="Times New Roman"/>
          <w:color w:val="000000"/>
          <w:sz w:val="20"/>
          <w:szCs w:val="20"/>
          <w:highlight w:val="white"/>
        </w:rPr>
        <w:t xml:space="preserve"> Quando a gente usa a palavra índio, estamos nos reportando a duas ideias. Uma é a ideia romântica, folclórica. A segunda ideia é ideologizada. </w:t>
      </w:r>
      <w:r w:rsidR="00344C21">
        <w:rPr>
          <w:rFonts w:ascii="Times New Roman" w:eastAsia="Times New Roman" w:hAnsi="Times New Roman" w:cs="Times New Roman"/>
          <w:color w:val="000000"/>
          <w:sz w:val="20"/>
          <w:szCs w:val="20"/>
          <w:highlight w:val="white"/>
        </w:rPr>
        <w:t>[</w:t>
      </w:r>
      <w:r>
        <w:rPr>
          <w:rFonts w:ascii="Times New Roman" w:eastAsia="Times New Roman" w:hAnsi="Times New Roman" w:cs="Times New Roman"/>
          <w:color w:val="000000"/>
          <w:sz w:val="20"/>
          <w:szCs w:val="20"/>
          <w:highlight w:val="white"/>
        </w:rPr>
        <w:t>...</w:t>
      </w:r>
      <w:r w:rsidR="00344C21">
        <w:rPr>
          <w:rFonts w:ascii="Times New Roman" w:eastAsia="Times New Roman" w:hAnsi="Times New Roman" w:cs="Times New Roman"/>
          <w:color w:val="000000"/>
          <w:sz w:val="20"/>
          <w:szCs w:val="20"/>
          <w:highlight w:val="white"/>
        </w:rPr>
        <w:t>]</w:t>
      </w:r>
      <w:r>
        <w:rPr>
          <w:rFonts w:ascii="Times New Roman" w:eastAsia="Times New Roman" w:hAnsi="Times New Roman" w:cs="Times New Roman"/>
          <w:color w:val="000000"/>
          <w:sz w:val="20"/>
          <w:szCs w:val="20"/>
          <w:highlight w:val="white"/>
        </w:rPr>
        <w:t xml:space="preserve"> A ideia de que o índio acabou virando um empecilho para o desenvolvimento brasileiro (MUNDURUKU, 2019).</w:t>
      </w:r>
    </w:p>
    <w:p w14:paraId="2BDE4F73" w14:textId="77777777" w:rsidR="002852F7" w:rsidRDefault="002852F7">
      <w:pPr>
        <w:pBdr>
          <w:top w:val="nil"/>
          <w:left w:val="nil"/>
          <w:bottom w:val="nil"/>
          <w:right w:val="nil"/>
          <w:between w:val="nil"/>
        </w:pBdr>
        <w:shd w:val="clear" w:color="auto" w:fill="FFFFFF"/>
        <w:spacing w:line="360" w:lineRule="auto"/>
        <w:ind w:firstLine="708"/>
        <w:jc w:val="both"/>
        <w:rPr>
          <w:rFonts w:ascii="Calibri" w:eastAsia="Calibri" w:hAnsi="Calibri" w:cs="Calibri"/>
          <w:color w:val="000000"/>
          <w:highlight w:val="white"/>
        </w:rPr>
      </w:pPr>
    </w:p>
    <w:p w14:paraId="0A9AAE78" w14:textId="48DBFE47" w:rsidR="002852F7" w:rsidRDefault="00000000">
      <w:pPr>
        <w:pBdr>
          <w:top w:val="nil"/>
          <w:left w:val="nil"/>
          <w:bottom w:val="nil"/>
          <w:right w:val="nil"/>
          <w:between w:val="nil"/>
        </w:pBdr>
        <w:shd w:val="clear" w:color="auto" w:fill="FFFFFF"/>
        <w:spacing w:line="360" w:lineRule="auto"/>
        <w:ind w:firstLine="708"/>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 xml:space="preserve">Quando se utiliza termo genérico, “leva-nos a crer que não há diversidade de povos, pois todos são uma coisa só – índios. </w:t>
      </w:r>
      <w:r w:rsidR="00344C21">
        <w:rPr>
          <w:rFonts w:ascii="Times New Roman" w:eastAsia="Times New Roman" w:hAnsi="Times New Roman" w:cs="Times New Roman"/>
          <w:color w:val="000000"/>
          <w:highlight w:val="white"/>
        </w:rPr>
        <w:t>[</w:t>
      </w:r>
      <w:r>
        <w:rPr>
          <w:rFonts w:ascii="Times New Roman" w:eastAsia="Times New Roman" w:hAnsi="Times New Roman" w:cs="Times New Roman"/>
          <w:color w:val="000000"/>
          <w:highlight w:val="white"/>
        </w:rPr>
        <w:t>...</w:t>
      </w:r>
      <w:r w:rsidR="00344C21">
        <w:rPr>
          <w:rFonts w:ascii="Times New Roman" w:eastAsia="Times New Roman" w:hAnsi="Times New Roman" w:cs="Times New Roman"/>
          <w:color w:val="000000"/>
          <w:highlight w:val="white"/>
        </w:rPr>
        <w:t>]</w:t>
      </w:r>
      <w:r>
        <w:rPr>
          <w:rFonts w:ascii="Times New Roman" w:eastAsia="Times New Roman" w:hAnsi="Times New Roman" w:cs="Times New Roman"/>
          <w:color w:val="000000"/>
          <w:highlight w:val="white"/>
        </w:rPr>
        <w:t xml:space="preserve"> O termo contribui, enfim, para falsamente diminuir a diversidade indígena brasileira ou, em outras palavras, universalizar o diverso” (GUARANY, 2006, p.</w:t>
      </w:r>
      <w:r w:rsidR="00344C21">
        <w:rPr>
          <w:rFonts w:ascii="Times New Roman" w:eastAsia="Times New Roman" w:hAnsi="Times New Roman" w:cs="Times New Roman"/>
          <w:color w:val="000000"/>
          <w:highlight w:val="white"/>
        </w:rPr>
        <w:t xml:space="preserve"> </w:t>
      </w:r>
      <w:r>
        <w:rPr>
          <w:rFonts w:ascii="Times New Roman" w:eastAsia="Times New Roman" w:hAnsi="Times New Roman" w:cs="Times New Roman"/>
          <w:color w:val="000000"/>
          <w:highlight w:val="white"/>
        </w:rPr>
        <w:t>151).</w:t>
      </w:r>
    </w:p>
    <w:p w14:paraId="6B23F434" w14:textId="77777777" w:rsidR="002852F7" w:rsidRDefault="00000000">
      <w:pPr>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rPr>
        <w:t>Os direitos e o protagonismo reconhecidos aos povos indígenas na Constituição de 1988, bem como o seu suposto propósito, não condizem com as ações e o posicionamento do Estado e da sociedade quanto ao tema. Sob um panorama geral, a conquista de direitos, ora abordada, foi limitada à letra dos dispositivos constitucionais, não alcançando a devida efetivação no Brasil.</w:t>
      </w:r>
    </w:p>
    <w:p w14:paraId="5D5C5B16" w14:textId="77777777" w:rsidR="002852F7" w:rsidRDefault="00000000">
      <w:pPr>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Enquanto o Direito Indigenista da Constituição Cidadã se dilui em meio a ambiguidades, abstracionismos e contradições, a CP da Colômbia apresenta barreiras mais práticas para a devida efetivação dos direitos reconhecidos aos povos indígenas, compatíveis com a objetividade de seu texto. Os direitos reconhecidos aos povos indígenas na CP são categoricamente determinados, muitos deles foram condicionados a regulamentação pelo Poder Legislativo. As ETI´s ficaram condicionadas à criação de uma LOOT</w:t>
      </w:r>
      <w:r>
        <w:rPr>
          <w:rFonts w:ascii="Times New Roman" w:eastAsia="Times New Roman" w:hAnsi="Times New Roman" w:cs="Times New Roman"/>
          <w:color w:val="000000"/>
          <w:vertAlign w:val="superscript"/>
        </w:rPr>
        <w:footnoteReference w:id="8"/>
      </w:r>
      <w:r>
        <w:rPr>
          <w:rFonts w:ascii="Times New Roman" w:eastAsia="Times New Roman" w:hAnsi="Times New Roman" w:cs="Times New Roman"/>
          <w:color w:val="000000"/>
        </w:rPr>
        <w:t xml:space="preserve"> e a JEI de uma lei especial, ambas pendentes de efetivação por falta da criação das respectivas leis. A CEI foi devidamente aplicada e foram destinadas aos povos indígenas as cadeiras especiais no Congresso Nacional.</w:t>
      </w:r>
    </w:p>
    <w:p w14:paraId="3B1F3FEC" w14:textId="77777777" w:rsidR="002852F7" w:rsidRDefault="00000000">
      <w:pPr>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súbita generosidade do Estado e a complacência da sociedade não indígena durante a Constituinte na Colômbia antagonizou diretamente com o tratamento conferido aos povos originários desde o período colonial e, principalmente, durante quase todo o séc. XX, gerando teorias diversas sobre a real intenção por trás desse cenário. A teoria majoritária entende que a conduta do Governo colombiano foi motivada pela pequena porcentagem de indígenas no país e, pois, pela irrelevância dos direitos reconhecidos a eles em relação ao </w:t>
      </w:r>
      <w:r>
        <w:rPr>
          <w:rFonts w:ascii="Times New Roman" w:eastAsia="Times New Roman" w:hAnsi="Times New Roman" w:cs="Times New Roman"/>
          <w:i/>
          <w:color w:val="000000"/>
        </w:rPr>
        <w:t>status quo</w:t>
      </w:r>
      <w:r>
        <w:rPr>
          <w:rFonts w:ascii="Times New Roman" w:eastAsia="Times New Roman" w:hAnsi="Times New Roman" w:cs="Times New Roman"/>
          <w:color w:val="000000"/>
        </w:rPr>
        <w:t xml:space="preserve"> nacional, como ilustram os trechos a seguir:</w:t>
      </w:r>
    </w:p>
    <w:p w14:paraId="38E40DE9" w14:textId="77777777" w:rsidR="002852F7" w:rsidRDefault="002852F7">
      <w:pPr>
        <w:pBdr>
          <w:top w:val="nil"/>
          <w:left w:val="nil"/>
          <w:bottom w:val="nil"/>
          <w:right w:val="nil"/>
          <w:between w:val="nil"/>
        </w:pBdr>
        <w:ind w:left="2268"/>
        <w:jc w:val="both"/>
        <w:rPr>
          <w:rFonts w:ascii="Calibri" w:eastAsia="Calibri" w:hAnsi="Calibri" w:cs="Calibri"/>
          <w:i/>
          <w:color w:val="000000"/>
        </w:rPr>
      </w:pPr>
    </w:p>
    <w:p w14:paraId="1FF680EF" w14:textId="7106FBB2" w:rsidR="002852F7" w:rsidRDefault="00000000">
      <w:pPr>
        <w:pBdr>
          <w:top w:val="nil"/>
          <w:left w:val="nil"/>
          <w:bottom w:val="nil"/>
          <w:right w:val="nil"/>
          <w:between w:val="nil"/>
        </w:pBdr>
        <w:ind w:left="2268"/>
        <w:jc w:val="both"/>
        <w:rPr>
          <w:rFonts w:ascii="Times New Roman" w:eastAsia="Times New Roman" w:hAnsi="Times New Roman" w:cs="Times New Roman"/>
          <w:color w:val="000000"/>
          <w:sz w:val="20"/>
          <w:szCs w:val="20"/>
        </w:rPr>
      </w:pPr>
      <w:r w:rsidRPr="0034566F">
        <w:rPr>
          <w:rFonts w:ascii="Times New Roman" w:eastAsia="Times New Roman" w:hAnsi="Times New Roman" w:cs="Times New Roman"/>
          <w:i/>
          <w:color w:val="000000"/>
          <w:sz w:val="20"/>
          <w:szCs w:val="20"/>
          <w:lang w:val="es-ES"/>
        </w:rPr>
        <w:t xml:space="preserve">En Colombia, en cambio, la cuestión indígena desempeña un papel secundario en general. En buena medida ello guarda relación con el hecho de que la participación de los sectores indígenas en el total de la población no supera el 2% [en 1991]. De allí que la Asamblea Constituyente no tuvo mayores problemas en concederle amplios derechos en la Constitución Política de Colombia de 1991 </w:t>
      </w:r>
      <w:r w:rsidRPr="00344C21">
        <w:rPr>
          <w:rFonts w:ascii="Times New Roman" w:eastAsia="Times New Roman" w:hAnsi="Times New Roman" w:cs="Times New Roman"/>
          <w:iCs/>
          <w:color w:val="000000"/>
          <w:sz w:val="20"/>
          <w:szCs w:val="20"/>
        </w:rPr>
        <w:t>(SEMPER, 2006, p. 762)</w:t>
      </w:r>
      <w:r w:rsidR="00344C21">
        <w:rPr>
          <w:rFonts w:ascii="Times New Roman" w:eastAsia="Times New Roman" w:hAnsi="Times New Roman" w:cs="Times New Roman"/>
          <w:iCs/>
          <w:color w:val="000000"/>
          <w:sz w:val="20"/>
          <w:szCs w:val="20"/>
        </w:rPr>
        <w:t>.</w:t>
      </w:r>
    </w:p>
    <w:p w14:paraId="4EBD09C5" w14:textId="77777777" w:rsidR="002852F7" w:rsidRDefault="002852F7">
      <w:pPr>
        <w:pBdr>
          <w:top w:val="nil"/>
          <w:left w:val="nil"/>
          <w:bottom w:val="nil"/>
          <w:right w:val="nil"/>
          <w:between w:val="nil"/>
        </w:pBdr>
        <w:ind w:left="2268"/>
        <w:jc w:val="both"/>
        <w:rPr>
          <w:rFonts w:ascii="Times New Roman" w:eastAsia="Times New Roman" w:hAnsi="Times New Roman" w:cs="Times New Roman"/>
          <w:sz w:val="20"/>
          <w:szCs w:val="20"/>
        </w:rPr>
      </w:pPr>
    </w:p>
    <w:p w14:paraId="452CA634" w14:textId="33F2DDF7" w:rsidR="002852F7" w:rsidRDefault="00000000">
      <w:pPr>
        <w:pBdr>
          <w:top w:val="nil"/>
          <w:left w:val="nil"/>
          <w:bottom w:val="nil"/>
          <w:right w:val="nil"/>
          <w:between w:val="nil"/>
        </w:pBdr>
        <w:ind w:left="226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Outros ativistas e acadêmicos como Garcia e Uprimy, pensam que foi por conta da baixa porcentagem da população indígena na Colômbia que foi possível a aprovação de direitos diferenciados para estes grupos sem assumir mudanças estruturais ao mesmo tempo em que o Estado se aproveitava da legitimidade que eles transferiram à nova Constituição como símbolo de mudança histórica (GARZÓN, 2008, p. 46).</w:t>
      </w:r>
    </w:p>
    <w:p w14:paraId="5CF0F859" w14:textId="77777777" w:rsidR="002852F7" w:rsidRDefault="002852F7">
      <w:pPr>
        <w:pBdr>
          <w:top w:val="nil"/>
          <w:left w:val="nil"/>
          <w:bottom w:val="nil"/>
          <w:right w:val="nil"/>
          <w:between w:val="nil"/>
        </w:pBdr>
        <w:spacing w:line="360" w:lineRule="auto"/>
        <w:ind w:left="2268"/>
        <w:jc w:val="both"/>
        <w:rPr>
          <w:rFonts w:ascii="Calibri" w:eastAsia="Calibri" w:hAnsi="Calibri" w:cs="Calibri"/>
          <w:color w:val="000000"/>
        </w:rPr>
      </w:pPr>
    </w:p>
    <w:p w14:paraId="237457E8" w14:textId="77777777" w:rsidR="002852F7" w:rsidRDefault="00000000">
      <w:pPr>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Através dessa teoria é possível compreender o porquê das condicionantes e das pendências das ETI´s e da JEI, assim como o porquê da efetivação imediata da CEI. Esta concede aos povos indígenas representatividade no Congresso, sob o pretexto de garantir e aumentar a participação indígena no Poder Legislativo. </w:t>
      </w:r>
    </w:p>
    <w:p w14:paraId="415D367F" w14:textId="77777777" w:rsidR="002852F7" w:rsidRDefault="00000000">
      <w:pPr>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A realidade é que os povos indígenas não encontram apoio político para se elegerem em concorrência com os candidatos não indígenas pelo processo eleitoral convencional, assim como os congressistas indígenas eleitos através da CEI não encontram apoio dentro do Congresso para reivindicar suas demandas e efetivar seus direitos constitucionais, dentre eles as ETI´s e a JEI. Estas possibilitam a autogestão dos povos indígenas dentro de seus territórios e de suas comunidades, fortalecendo as suas instituições políticas e jurídicas e, assim, o seu poder dentro da sociedade e do próprio Estado. Estão condicionados à apreciação legislativa os direitos reconhecidos aos povos indígenas com o maior potencial de alteração do </w:t>
      </w:r>
      <w:r>
        <w:rPr>
          <w:rFonts w:ascii="Times New Roman" w:eastAsia="Times New Roman" w:hAnsi="Times New Roman" w:cs="Times New Roman"/>
          <w:i/>
          <w:color w:val="000000"/>
        </w:rPr>
        <w:t xml:space="preserve">status quo </w:t>
      </w:r>
      <w:r>
        <w:rPr>
          <w:rFonts w:ascii="Times New Roman" w:eastAsia="Times New Roman" w:hAnsi="Times New Roman" w:cs="Times New Roman"/>
          <w:color w:val="000000"/>
        </w:rPr>
        <w:t>social, político, territorial e econômico da Colômbia, em consonância com as teorias de Semper e Garzón.</w:t>
      </w:r>
    </w:p>
    <w:p w14:paraId="30009076" w14:textId="77777777" w:rsidR="002852F7" w:rsidRDefault="00000000">
      <w:pPr>
        <w:pBdr>
          <w:top w:val="nil"/>
          <w:left w:val="nil"/>
          <w:bottom w:val="nil"/>
          <w:right w:val="nil"/>
          <w:between w:val="nil"/>
        </w:pBdr>
        <w:spacing w:line="360" w:lineRule="auto"/>
        <w:ind w:firstLine="851"/>
        <w:jc w:val="both"/>
        <w:rPr>
          <w:rFonts w:ascii="Calibri" w:eastAsia="Calibri" w:hAnsi="Calibri" w:cs="Calibri"/>
          <w:b/>
          <w:color w:val="000000"/>
        </w:rPr>
      </w:pPr>
      <w:r>
        <w:rPr>
          <w:rFonts w:ascii="Times New Roman" w:eastAsia="Times New Roman" w:hAnsi="Times New Roman" w:cs="Times New Roman"/>
          <w:color w:val="000000"/>
        </w:rPr>
        <w:t>Entre singularidades e similaridades, os direitos reconhecidos aos povos indígenas nas constituições de Brasil e Colômbia com tanto clamor e sob promessas de renovação da política e do Direito Indigenista se encontram pendentes de efetivação ou efetivados de maneira que não impacte significativamente a herança do colonizador.</w:t>
      </w:r>
    </w:p>
    <w:p w14:paraId="20B2CF0B" w14:textId="77777777" w:rsidR="002852F7" w:rsidRDefault="002852F7">
      <w:pPr>
        <w:pBdr>
          <w:top w:val="nil"/>
          <w:left w:val="nil"/>
          <w:bottom w:val="nil"/>
          <w:right w:val="nil"/>
          <w:between w:val="nil"/>
        </w:pBdr>
        <w:spacing w:line="276" w:lineRule="auto"/>
        <w:ind w:left="709"/>
        <w:jc w:val="both"/>
        <w:rPr>
          <w:rFonts w:ascii="Calibri" w:eastAsia="Calibri" w:hAnsi="Calibri" w:cs="Calibri"/>
          <w:b/>
          <w:color w:val="000000"/>
        </w:rPr>
      </w:pPr>
    </w:p>
    <w:p w14:paraId="06BD9A1D" w14:textId="77777777" w:rsidR="002852F7"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5. As normas infraconstitucionais e o posicionamento dos poderes legislativos de Brasil e Colômbia</w:t>
      </w:r>
    </w:p>
    <w:p w14:paraId="32CDF818" w14:textId="77777777" w:rsidR="002852F7" w:rsidRDefault="002852F7">
      <w:pPr>
        <w:pBdr>
          <w:top w:val="nil"/>
          <w:left w:val="nil"/>
          <w:bottom w:val="nil"/>
          <w:right w:val="nil"/>
          <w:between w:val="nil"/>
        </w:pBdr>
        <w:spacing w:line="276" w:lineRule="auto"/>
        <w:ind w:left="720"/>
        <w:jc w:val="both"/>
        <w:rPr>
          <w:rFonts w:ascii="Calibri" w:eastAsia="Calibri" w:hAnsi="Calibri" w:cs="Calibri"/>
          <w:b/>
          <w:color w:val="000000"/>
        </w:rPr>
      </w:pPr>
    </w:p>
    <w:p w14:paraId="22B374FB" w14:textId="77777777" w:rsidR="002852F7" w:rsidRDefault="00000000">
      <w:pPr>
        <w:pBdr>
          <w:top w:val="nil"/>
          <w:left w:val="nil"/>
          <w:bottom w:val="nil"/>
          <w:right w:val="nil"/>
          <w:between w:val="nil"/>
        </w:pBdr>
        <w:spacing w:line="360" w:lineRule="auto"/>
        <w:ind w:left="-11" w:firstLine="862"/>
        <w:jc w:val="both"/>
        <w:rPr>
          <w:rFonts w:ascii="Times New Roman" w:eastAsia="Times New Roman" w:hAnsi="Times New Roman" w:cs="Times New Roman"/>
          <w:color w:val="000000"/>
        </w:rPr>
      </w:pPr>
      <w:r>
        <w:rPr>
          <w:rFonts w:ascii="Times New Roman" w:eastAsia="Times New Roman" w:hAnsi="Times New Roman" w:cs="Times New Roman"/>
          <w:color w:val="000000"/>
        </w:rPr>
        <w:t>Frente ao “delegacionismo” da Constituição Cidadã e da CP sobre os direitos reconhecidos aos povos originários, e do abstracionismo da primeira, transferiu-se ao Poder Legislativo o poder e o dever de regulamentar e efetivar esses direitos através da criação de leis específicas. Esses direitos se encontram, por motivos semelhantes, pendentes no Direito de Brasil e Colômbia. Aos povos indígenas foram relegados atos administrativos e leis arcaicas, discriminatórias, assimilacionistas e com resíduos de colonialismo, como amparo jurídico para a sua sobrevivência. Enquanto não logram a efetivação de seus direitos constitucionais pelo Congresso Nacional, os povos indígenas de Brasil e Colômbia ainda sofrem com a ameaça de projetos de lei que anseiam flexibilizar, reduzir ou extinguir determinados direitos, principalmente em relação a posse, a exploração e a demarcação de suas terras.</w:t>
      </w:r>
    </w:p>
    <w:p w14:paraId="599B86DE" w14:textId="77777777" w:rsidR="002852F7" w:rsidRDefault="00000000">
      <w:pPr>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Apenas o Brasil apresenta um estatuto de Direito Indigenista – o Estatuto do Índio (Lei 6.001/73). Este foi criado há 49 anos pelo governo brasileiro durante o período da Ditadura Militar do Brasil para se tornar o principal instrumento normativo indigenista no país. Marcado pelo contexto antidemocrático em que foi criado, o Estatuto do Índio é norteado por um escopo </w:t>
      </w:r>
      <w:r>
        <w:rPr>
          <w:rFonts w:ascii="Times New Roman" w:eastAsia="Times New Roman" w:hAnsi="Times New Roman" w:cs="Times New Roman"/>
          <w:color w:val="000000"/>
        </w:rPr>
        <w:lastRenderedPageBreak/>
        <w:t>assimilacionista, alienante, colonial e, principalmente, em desacordo com a Constituição de 1988:</w:t>
      </w:r>
    </w:p>
    <w:p w14:paraId="3E91C9A4" w14:textId="77777777" w:rsidR="002852F7" w:rsidRDefault="002852F7">
      <w:pPr>
        <w:pBdr>
          <w:top w:val="nil"/>
          <w:left w:val="nil"/>
          <w:bottom w:val="nil"/>
          <w:right w:val="nil"/>
          <w:between w:val="nil"/>
        </w:pBdr>
        <w:spacing w:line="360" w:lineRule="auto"/>
        <w:ind w:firstLine="851"/>
        <w:jc w:val="both"/>
        <w:rPr>
          <w:rFonts w:ascii="Calibri" w:eastAsia="Calibri" w:hAnsi="Calibri" w:cs="Calibri"/>
          <w:color w:val="000000"/>
        </w:rPr>
      </w:pPr>
    </w:p>
    <w:p w14:paraId="3E15AC2C" w14:textId="3FB8B73D" w:rsidR="002852F7" w:rsidRPr="00344C21" w:rsidRDefault="00000000" w:rsidP="00344C21">
      <w:pPr>
        <w:pBdr>
          <w:top w:val="nil"/>
          <w:left w:val="nil"/>
          <w:bottom w:val="nil"/>
          <w:right w:val="nil"/>
          <w:between w:val="nil"/>
        </w:pBdr>
        <w:ind w:left="226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Baseado numa concepção que em nada se diferenciava daquela que existia desde o início da colonização, o Estatuto do Índio anunciava o seu propósito logo no primeiro artigo: “integrar os índios à sociedade brasileira, assimilando-os de forma harmoniosa e progressiva”. Em outras palavras, o objetivo do Estatuto era fazer com que os índios paulatinamente deixassem de serem índios. Tratava-se, portanto, de uma lei cujos destinatários eram como “sujeitos em trânsito”, portadores, por isso mesmo, de direitos temporários, compatíveis com a sua condição e que durariam apenas e enquanto perdurasse essa mesma condição. </w:t>
      </w:r>
      <w:r w:rsidR="00344C21">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w:t>
      </w:r>
      <w:r w:rsidR="00344C21">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O advento da nova Carta Constitucional propiciou, na sequência, o debate sobre a necessidade de reformulação do Estatuto do Índio de 1973, cujas bases, como já dito, estavam assentadas no conceito superado da necessidade de integração e de assimilação dos índios à comunhão nacional, e na noção da tutela a ser exercida pelo órgão oficial enquanto aquele objetivo não fosse alcançado (ARAÚJO, 2006, p. 32 e 46).</w:t>
      </w:r>
    </w:p>
    <w:p w14:paraId="6712F542" w14:textId="77777777" w:rsidR="00344C21" w:rsidRDefault="00344C21">
      <w:pPr>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p>
    <w:p w14:paraId="607AFA69" w14:textId="42E85BB5" w:rsidR="002852F7" w:rsidRDefault="00000000">
      <w:pPr>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 Estatuto do Índio continua vigendo, apesar de muito se discutir se possui ou não vigor. Foram elaborados vários projetos de lei que objetivam suplantar a obsolescência ou a falta de vigência efetiva da Lei 6.001/73, como o PL 2.057/91 – Estatuto das Sociedades Indígenas, que se propõe a preencher as lacunas da Constituição de 1988, regulando os temas delegados ao Poder Legislativo pelo constituinte e temas que foram abordados apenas de maneira superficial. Passados 32 anos da sua propositura, esse projeto de lei foi arquivado em 31/01/2023. Ao longo desse período foram apensados 16 projetos de lei ao PL 2.057/91, dentre tantos outros rejeitados, e feitas mais de 200 emendas. </w:t>
      </w:r>
    </w:p>
    <w:p w14:paraId="68E57398" w14:textId="77777777" w:rsidR="002852F7" w:rsidRDefault="00000000">
      <w:pPr>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Apesar da sua idade, o Estatuto das Sociedades Indígenas se tornaria, se fosse aprovado, a principal fonte jurídica do Direito Indigenista no Brasil, </w:t>
      </w:r>
      <w:r>
        <w:rPr>
          <w:rFonts w:ascii="Times New Roman" w:eastAsia="Times New Roman" w:hAnsi="Times New Roman" w:cs="Times New Roman"/>
          <w:color w:val="000000"/>
          <w:highlight w:val="white"/>
        </w:rPr>
        <w:t>pois, reconheceria a devida demarcação das terras indígenas, as sociedades indígenas como personalidade jurídica de direito interno e a proteção do patrimônio cultural e a propriedade intelectual desses povos. Estaria em quase total acordo com a Convenção 169 da OIT,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rPr>
        <w:t xml:space="preserve">sendo mais atual que o Estatuto do Índio e mais completo que a Constituição. </w:t>
      </w:r>
    </w:p>
    <w:p w14:paraId="45908C2C" w14:textId="277BD42E" w:rsidR="002852F7" w:rsidRDefault="00000000">
      <w:pPr>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Em abril de 2023 foi instituído pela ministra Sônia Guajajara um grupo de trabalho, formado por membros da Articulação dos Povos Indígenas do Brasil e do Ministério dos Povos Indígenas, para a elaboração do Estatuto dos Povos </w:t>
      </w:r>
      <w:r w:rsidR="00344C21">
        <w:rPr>
          <w:rFonts w:ascii="Times New Roman" w:eastAsia="Times New Roman" w:hAnsi="Times New Roman" w:cs="Times New Roman"/>
          <w:color w:val="000000"/>
        </w:rPr>
        <w:t>Indígenas, objetivando</w:t>
      </w:r>
      <w:r>
        <w:rPr>
          <w:rFonts w:ascii="Times New Roman" w:eastAsia="Times New Roman" w:hAnsi="Times New Roman" w:cs="Times New Roman"/>
          <w:color w:val="000000"/>
        </w:rPr>
        <w:t xml:space="preserve"> superar definitivamente o Estatuto do Índio. </w:t>
      </w:r>
    </w:p>
    <w:p w14:paraId="555E5AC9" w14:textId="77777777" w:rsidR="002852F7" w:rsidRDefault="00000000">
      <w:pPr>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Outros projetos se debruçaram de maneira obscura sobre os direitos dos povos indígenas, como o PL 2903/2023, que após intensa discussão e algumas alterações ao texto original, foi aprovado originando a Lei 14701, de 20/10/2023, que se propõe a regulamentar o art. 231 da Constituição Federal, e dispor sobre o reconhecimento, a demarcação, o uso e a gestão de terras indígenas.</w:t>
      </w:r>
    </w:p>
    <w:p w14:paraId="1FCDB2F4" w14:textId="77777777" w:rsidR="002852F7" w:rsidRDefault="00000000">
      <w:pPr>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 principal objetivo do legislador com a edição da Lei 14701/2023 era a </w:t>
      </w:r>
      <w:r>
        <w:rPr>
          <w:rFonts w:ascii="Times New Roman" w:eastAsia="Times New Roman" w:hAnsi="Times New Roman" w:cs="Times New Roman"/>
          <w:color w:val="000000"/>
          <w:highlight w:val="white"/>
        </w:rPr>
        <w:t xml:space="preserve">institucionalização no plano jurídico da teoria do Marco Temporal, que já havia sido levado para análise do Supremo Tribunal Federal (STF) através do Recurso Extraordinário (RE) 1017365/SC, buscando a “definição do estatuto jurídico-constitucional das relações de posse das áreas de tradicional ocupação indígena e desde quando deve prevalecer essa ocupação” (BRASIL, 2024). </w:t>
      </w:r>
    </w:p>
    <w:p w14:paraId="3156FDA1" w14:textId="77777777" w:rsidR="002852F7" w:rsidRDefault="00000000">
      <w:pPr>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O debate levado ao STF através do RE supracitado demandou a análise da concessão de repercussão geral, tendo em vista a possível afronta a direitos fundamentais, necessidade de pacificar a matéria e vincular a partir da decisão a Administração Pública e o Poder Judiciário. Em 21/02/2019 foi estabelecida a repercussão geral do RE nº 1017365/SC, com o Tema 1.031. Conforme ROLIN (2024, p. 52) “a decisão do Supremo Tribunal nesta repercussão geral servirá de parâmetro para a resolução, ao menos, de 82 (oitenta e dois) casos semelhantes que estão sobrestados”.</w:t>
      </w:r>
    </w:p>
    <w:p w14:paraId="714CCBCC" w14:textId="77777777" w:rsidR="002852F7" w:rsidRDefault="00000000">
      <w:pPr>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 xml:space="preserve">Salienta-se que a partir da concessão de repercussão geral citada, existiu uma maior mobilização da sociedade civil em defesa de seus interesses particulares, sejam organizações ligadas aos indígenas defendendo a inexistência de marco temporal, sejam alguns Estados e associações de produtores rurais defendendo “uma noção clara de data com a intenção de obter segurança jurídica para a ocupação e demarcação das terras” (ROLIN, 2024, p. 52-53). </w:t>
      </w:r>
    </w:p>
    <w:p w14:paraId="2A3347CC" w14:textId="77777777" w:rsidR="002852F7" w:rsidRDefault="00000000">
      <w:pPr>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 xml:space="preserve">Em clara retaliação à decisão do STF, que negou a tese do Marco Temporal, e que foi definida por alguns parlamentares como “ativista”, o Congresso Nacional aprovou em 27/09/2023 o PL </w:t>
      </w:r>
      <w:r>
        <w:rPr>
          <w:rFonts w:ascii="Times New Roman" w:eastAsia="Times New Roman" w:hAnsi="Times New Roman" w:cs="Times New Roman"/>
          <w:color w:val="000000"/>
        </w:rPr>
        <w:t xml:space="preserve">2903/2023 que seguiu para sanção presidencial. </w:t>
      </w:r>
    </w:p>
    <w:p w14:paraId="0C562C2A" w14:textId="77777777" w:rsidR="002852F7" w:rsidRDefault="00000000">
      <w:pPr>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No projeto encaminhado ao Presidente para sanção foi estabelecido </w:t>
      </w:r>
      <w:r>
        <w:rPr>
          <w:rFonts w:ascii="Times New Roman" w:eastAsia="Times New Roman" w:hAnsi="Times New Roman" w:cs="Times New Roman"/>
          <w:color w:val="000000"/>
          <w:highlight w:val="white"/>
        </w:rPr>
        <w:t xml:space="preserve">que apenas terras que pudessem ser comprovadas a ocupação na data da promulgação da Constituição Federal de 1988, seriam passíveis de demarcação, trazendo previsão contrária à decisão proferida pelo STF no RE 1017365/SC. Fundamentada no acórdão do Supremo, a Presidência vetou parcialmente o texto da lei, inclusive quanto à previsão do Marco Temporal. Mas, esse veto foi tombado na </w:t>
      </w:r>
      <w:r>
        <w:rPr>
          <w:rFonts w:ascii="Times New Roman" w:eastAsia="Times New Roman" w:hAnsi="Times New Roman" w:cs="Times New Roman"/>
          <w:color w:val="000000"/>
          <w:highlight w:val="white"/>
        </w:rPr>
        <w:lastRenderedPageBreak/>
        <w:t xml:space="preserve">nova análise parlamentar no retorno à Casa Legislativa, sendo publicada no art. 4º da </w:t>
      </w:r>
      <w:r>
        <w:rPr>
          <w:rFonts w:ascii="Times New Roman" w:eastAsia="Times New Roman" w:hAnsi="Times New Roman" w:cs="Times New Roman"/>
          <w:color w:val="000000"/>
        </w:rPr>
        <w:t>Lei nº 14701/2023 a regra do Marco Temporal</w:t>
      </w:r>
      <w:r>
        <w:rPr>
          <w:rFonts w:ascii="Times New Roman" w:eastAsia="Times New Roman" w:hAnsi="Times New Roman" w:cs="Times New Roman"/>
          <w:color w:val="000000"/>
          <w:highlight w:val="white"/>
        </w:rPr>
        <w:t>.</w:t>
      </w:r>
      <w:r>
        <w:rPr>
          <w:rFonts w:ascii="Times New Roman" w:eastAsia="Times New Roman" w:hAnsi="Times New Roman" w:cs="Times New Roman"/>
          <w:color w:val="FF0000"/>
          <w:sz w:val="20"/>
          <w:szCs w:val="20"/>
          <w:highlight w:val="white"/>
        </w:rPr>
        <w:t xml:space="preserve"> </w:t>
      </w:r>
      <w:r>
        <w:rPr>
          <w:rFonts w:ascii="Times New Roman" w:eastAsia="Times New Roman" w:hAnsi="Times New Roman" w:cs="Times New Roman"/>
          <w:color w:val="000000"/>
          <w:highlight w:val="white"/>
        </w:rPr>
        <w:t xml:space="preserve">Longe de ser temática livre de controvérsia na sociedade e no Judiciário Brasileiro, resta claro o grande retrocesso estabelecido através da Lei nº </w:t>
      </w:r>
      <w:r>
        <w:rPr>
          <w:rFonts w:ascii="Times New Roman" w:eastAsia="Times New Roman" w:hAnsi="Times New Roman" w:cs="Times New Roman"/>
          <w:color w:val="000000"/>
        </w:rPr>
        <w:t>14701/2023.</w:t>
      </w:r>
    </w:p>
    <w:p w14:paraId="60E8EC92" w14:textId="77777777" w:rsidR="002852F7" w:rsidRDefault="00000000">
      <w:pPr>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rPr>
        <w:t>Na Colômbia, a JEI ainda não foi regulamentada pela devida lei especial como determina a CP, gerando grande insegurança jurídica e jurisdicional sobre o tema e prejudicando o acesso dos povos indígenas aos seus direitos. As ETI´s também não foram devidamente regulamentadas, apesar de ter sido criada uma LOOT em 2011, mas sem qualquer menção às ETI´s. Posteriormente, foi adicionado ao texto dessa LOOT uma disposição que incluiu como finalidade da lei o ordenamento e desenvolvimento das ETI´s. Contudo, essa LOOT apenas repete o texto constitucional e delega no art. 37 o encargo de regulamentar as ETI's à outra lei – uma delegação da delegação.</w:t>
      </w:r>
    </w:p>
    <w:p w14:paraId="62C88869" w14:textId="77777777" w:rsidR="002852F7" w:rsidRDefault="00000000">
      <w:pPr>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Em ambos os países os direitos indigenistas delegados (ou relegados) pelas constituições ao Poder Legislativo encontram objeções, ou não, para serem efetivados, a depender do seu teor e de quem ele favoreça. Em regra, a aprovação dos projetos de regulamentação dos direitos constitucionais dos povos indígenas fica condicionada à vontade política dos congressos nacionais de Brasil e Colômbia, afligindo relevante prejuízo aos povos indígenas desses países como ilustra o trecho a seguir: </w:t>
      </w:r>
    </w:p>
    <w:p w14:paraId="42260926" w14:textId="77777777" w:rsidR="002852F7" w:rsidRDefault="002852F7">
      <w:pPr>
        <w:pBdr>
          <w:top w:val="nil"/>
          <w:left w:val="nil"/>
          <w:bottom w:val="nil"/>
          <w:right w:val="nil"/>
          <w:between w:val="nil"/>
        </w:pBdr>
        <w:spacing w:line="360" w:lineRule="auto"/>
        <w:ind w:firstLine="851"/>
        <w:jc w:val="both"/>
        <w:rPr>
          <w:rFonts w:ascii="Calibri" w:eastAsia="Calibri" w:hAnsi="Calibri" w:cs="Calibri"/>
          <w:color w:val="000000"/>
        </w:rPr>
      </w:pPr>
    </w:p>
    <w:p w14:paraId="4839CAF3" w14:textId="2095EF14" w:rsidR="002852F7" w:rsidRDefault="00000000">
      <w:pPr>
        <w:pBdr>
          <w:top w:val="nil"/>
          <w:left w:val="nil"/>
          <w:bottom w:val="nil"/>
          <w:right w:val="nil"/>
          <w:between w:val="nil"/>
        </w:pBdr>
        <w:ind w:left="2268"/>
        <w:jc w:val="both"/>
        <w:rPr>
          <w:rFonts w:ascii="Times New Roman" w:eastAsia="Times New Roman" w:hAnsi="Times New Roman" w:cs="Times New Roman"/>
          <w:color w:val="000000"/>
          <w:sz w:val="20"/>
          <w:szCs w:val="20"/>
        </w:rPr>
      </w:pPr>
      <w:r w:rsidRPr="0034566F">
        <w:rPr>
          <w:rFonts w:ascii="Times New Roman" w:eastAsia="Times New Roman" w:hAnsi="Times New Roman" w:cs="Times New Roman"/>
          <w:i/>
          <w:color w:val="000000"/>
          <w:sz w:val="20"/>
          <w:szCs w:val="20"/>
          <w:lang w:val="es-ES"/>
        </w:rPr>
        <w:t xml:space="preserve">En cuanto a las Entidades Territoriales Indígenas – ETI – 31 años después, aún no se ha expedido su regulación. Al no existir una Ley Orgánica de Ordenamiento Territorial que aborde temas indígenas, las comunidades asentadas dentro de las entidades territoriales existentes no gozan de todos sus derechos. La falta de claridad lleva al caos. La carencia de regulación de ordenamiento afecta las políticas de desarrollo. Se generan traslapes institucionales entre departamientos, municipios, autoridades ambientales y territorios indígenas en la demarcación, tratamiento y regulación de los usos del suelo </w:t>
      </w:r>
      <w:r w:rsidRPr="00344C21">
        <w:rPr>
          <w:rFonts w:ascii="Times New Roman" w:eastAsia="Times New Roman" w:hAnsi="Times New Roman" w:cs="Times New Roman"/>
          <w:iCs/>
          <w:color w:val="000000"/>
          <w:sz w:val="20"/>
          <w:szCs w:val="20"/>
        </w:rPr>
        <w:t>(GAVIRIA, 2022).</w:t>
      </w:r>
    </w:p>
    <w:p w14:paraId="6C2BA571" w14:textId="77777777" w:rsidR="002852F7" w:rsidRDefault="002852F7">
      <w:pPr>
        <w:pBdr>
          <w:top w:val="nil"/>
          <w:left w:val="nil"/>
          <w:bottom w:val="nil"/>
          <w:right w:val="nil"/>
          <w:between w:val="nil"/>
        </w:pBdr>
        <w:spacing w:line="360" w:lineRule="auto"/>
        <w:ind w:left="2268"/>
        <w:jc w:val="both"/>
        <w:rPr>
          <w:rFonts w:ascii="Calibri" w:eastAsia="Calibri" w:hAnsi="Calibri" w:cs="Calibri"/>
          <w:i/>
          <w:color w:val="000000"/>
        </w:rPr>
      </w:pPr>
    </w:p>
    <w:p w14:paraId="6176BFBC" w14:textId="77777777" w:rsidR="002852F7" w:rsidRDefault="00000000">
      <w:pPr>
        <w:pBdr>
          <w:top w:val="nil"/>
          <w:left w:val="nil"/>
          <w:bottom w:val="nil"/>
          <w:right w:val="nil"/>
          <w:between w:val="nil"/>
        </w:pBdr>
        <w:spacing w:line="360" w:lineRule="auto"/>
        <w:ind w:firstLine="708"/>
        <w:jc w:val="both"/>
        <w:rPr>
          <w:rFonts w:ascii="Times New Roman" w:eastAsia="Times New Roman" w:hAnsi="Times New Roman" w:cs="Times New Roman"/>
          <w:color w:val="000000"/>
        </w:rPr>
      </w:pPr>
      <w:r>
        <w:rPr>
          <w:rFonts w:ascii="Times New Roman" w:eastAsia="Times New Roman" w:hAnsi="Times New Roman" w:cs="Times New Roman"/>
          <w:color w:val="000000"/>
        </w:rPr>
        <w:t>Conforme afirma Joênia Wapichana, apesar do ganho na legislação, ainda recai sobre os povos indígenas a dependência da vontade política para o reconhecimento de fato de seus direitos territoriais. Entende a presidenta da FUNAI que:</w:t>
      </w:r>
    </w:p>
    <w:p w14:paraId="23A6677D" w14:textId="77777777" w:rsidR="002852F7" w:rsidRDefault="002852F7">
      <w:pPr>
        <w:pBdr>
          <w:top w:val="nil"/>
          <w:left w:val="nil"/>
          <w:bottom w:val="nil"/>
          <w:right w:val="nil"/>
          <w:between w:val="nil"/>
        </w:pBdr>
        <w:spacing w:line="360" w:lineRule="auto"/>
        <w:ind w:firstLine="708"/>
        <w:jc w:val="both"/>
        <w:rPr>
          <w:rFonts w:ascii="Calibri" w:eastAsia="Calibri" w:hAnsi="Calibri" w:cs="Calibri"/>
          <w:color w:val="000000"/>
        </w:rPr>
      </w:pPr>
    </w:p>
    <w:p w14:paraId="41DCF83B" w14:textId="33018631" w:rsidR="002852F7" w:rsidRDefault="00000000">
      <w:pPr>
        <w:pBdr>
          <w:top w:val="nil"/>
          <w:left w:val="nil"/>
          <w:bottom w:val="nil"/>
          <w:right w:val="nil"/>
          <w:between w:val="nil"/>
        </w:pBdr>
        <w:ind w:left="226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Enfrenta-se desde falta de recursos a conflitos judiciais, interesses político-econômicos, ausência de políticas públicas etc. Como vimos, cabe à União Federal demarcar e proteger as terras indígenas, competindo ao Poder Executivo a prerrogativa exclusiva do reconhecimento dos direitos territoriais indígenas. </w:t>
      </w:r>
      <w:r>
        <w:rPr>
          <w:rFonts w:ascii="Times New Roman" w:eastAsia="Times New Roman" w:hAnsi="Times New Roman" w:cs="Times New Roman"/>
          <w:color w:val="000000"/>
          <w:sz w:val="20"/>
          <w:szCs w:val="20"/>
        </w:rPr>
        <w:lastRenderedPageBreak/>
        <w:t>Enquanto há indefinição ou morosidade nos atos administrativos, os interessados na exploração das terras indígenas buscam junto aos outros Poderes [Legislativo e Judiciário] frear a consolidação dos direitos territoriais indígenas, apresentando propostas de Emendas Constitucionais ou infinitas ações judiciais que pretendem suspender atos administrativos de reconhecimento, além de minimizarem os avanços consolidados no texto constitucional. Essas iniciativas acabam estimulando novas violações das garantias constitucionais ofertadas aos povos indígenas (CARVALHO, 2006, p. 88).</w:t>
      </w:r>
    </w:p>
    <w:p w14:paraId="552BD6C2" w14:textId="77777777" w:rsidR="002852F7" w:rsidRDefault="002852F7">
      <w:pPr>
        <w:pBdr>
          <w:top w:val="nil"/>
          <w:left w:val="nil"/>
          <w:bottom w:val="nil"/>
          <w:right w:val="nil"/>
          <w:between w:val="nil"/>
        </w:pBdr>
        <w:spacing w:line="360" w:lineRule="auto"/>
        <w:ind w:left="2268"/>
        <w:jc w:val="both"/>
        <w:rPr>
          <w:rFonts w:ascii="Calibri" w:eastAsia="Calibri" w:hAnsi="Calibri" w:cs="Calibri"/>
          <w:color w:val="000000"/>
        </w:rPr>
      </w:pPr>
    </w:p>
    <w:p w14:paraId="0DDABCD4" w14:textId="77777777" w:rsidR="002852F7" w:rsidRDefault="00000000">
      <w:pPr>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rPr>
        <w:t>Na Colômbia, os Decretos Presidenciais (DP) foram utilizados como via alternativa para a efetivação de alguns dos direitos indigenistas constitucionais. O DP 632 de 2018 se propõe a regulamentar os Territórios Indígenas enquanto a lei não o faz, concedendo às comunidades indígenas autonomia político-administrativa e os equiparando a municípios. Esses territórios assumiram forma de ETI, mas não o são, pois só a LOOT tem o poder de criar novas unidades administrativas (GAVIRIA, 2022).</w:t>
      </w:r>
    </w:p>
    <w:p w14:paraId="1B8AB728" w14:textId="77777777" w:rsidR="002852F7" w:rsidRDefault="00000000">
      <w:pPr>
        <w:pBdr>
          <w:top w:val="nil"/>
          <w:left w:val="nil"/>
          <w:bottom w:val="nil"/>
          <w:right w:val="nil"/>
          <w:between w:val="nil"/>
        </w:pBdr>
        <w:spacing w:line="36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Esse decreto contempla apenas os povos e comunidades indígenas localizados em três departamentos específicos da Colômbia, todos eles na circunscrição da Amazônia colombiana e fronteira com o Brasil. Isso porque não é motivado apenas pelo reconhecimento dos direitos constitucionais dos povos indígenas, mas pelo somatório de vários fatores preponderantes para a soberania nacional da Colômbia. Por exemplo, a necessidade de o Estado ocupar e estabelecer lideranças sólidas e proativas em áreas ignoradas pelas respectivas Entidades Territoriais, para que estas não sejam alvo de atividades ilegais de mineração, desmatamento e garimpo (GARZÓN, 2018). Não obstante, o decreto possibilita provar empiricamente a viabilidade e a importância das ETI´s a fim de reforçar a necessidade de sua criação e regulamentação pelo Poder Legislativo, mediante aprovação de LOOT que disponha especificamente sobre o tema.</w:t>
      </w:r>
    </w:p>
    <w:p w14:paraId="33A13E77" w14:textId="77777777" w:rsidR="002852F7" w:rsidRDefault="00000000">
      <w:pPr>
        <w:pBdr>
          <w:top w:val="nil"/>
          <w:left w:val="nil"/>
          <w:bottom w:val="nil"/>
          <w:right w:val="nil"/>
          <w:between w:val="nil"/>
        </w:pBdr>
        <w:spacing w:line="36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No Brasil, os atos administrativos foram utilizados contra os povos indígenas, principalmente através do Parecer 01/2017 da Advocacia da União, como elucida o Secretário-Executivo do Ministério dos Povos Indígenas, Eloy Terena (TERENA, 2022). Esse parecer atribuiu efeito vinculante à decisão da Pet. 3388/RR (Caso Raposa Serra do Sol) e suas 19 condicionantes, vinculando a Administração Pública à tese do Marco Temporal e o institucionalizando.</w:t>
      </w:r>
    </w:p>
    <w:p w14:paraId="4BE63944" w14:textId="77777777" w:rsidR="002852F7" w:rsidRDefault="00000000">
      <w:pPr>
        <w:pBdr>
          <w:top w:val="nil"/>
          <w:left w:val="nil"/>
          <w:bottom w:val="nil"/>
          <w:right w:val="nil"/>
          <w:between w:val="nil"/>
        </w:pBdr>
        <w:spacing w:line="36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É de suma importância a análise do Decreto Legislativo 5051/2004 e da </w:t>
      </w:r>
      <w:r>
        <w:rPr>
          <w:rFonts w:ascii="Times New Roman" w:eastAsia="Times New Roman" w:hAnsi="Times New Roman" w:cs="Times New Roman"/>
          <w:i/>
          <w:color w:val="000000"/>
        </w:rPr>
        <w:t>Ley 21 de 1991,</w:t>
      </w:r>
      <w:r>
        <w:rPr>
          <w:rFonts w:ascii="Times New Roman" w:eastAsia="Times New Roman" w:hAnsi="Times New Roman" w:cs="Times New Roman"/>
          <w:color w:val="000000"/>
        </w:rPr>
        <w:t xml:space="preserve"> responsáveis por internalizar a Convenção 169 da OIT de 1989 em Brasil e Colômbia, pois os processos de aprovação e internalização ocorreram de maneira diferente. Enquanto a Colômbia </w:t>
      </w:r>
      <w:r>
        <w:rPr>
          <w:rFonts w:ascii="Times New Roman" w:eastAsia="Times New Roman" w:hAnsi="Times New Roman" w:cs="Times New Roman"/>
          <w:color w:val="000000"/>
        </w:rPr>
        <w:lastRenderedPageBreak/>
        <w:t xml:space="preserve">aprovou a </w:t>
      </w:r>
      <w:r>
        <w:rPr>
          <w:rFonts w:ascii="Times New Roman" w:eastAsia="Times New Roman" w:hAnsi="Times New Roman" w:cs="Times New Roman"/>
          <w:i/>
          <w:color w:val="000000"/>
        </w:rPr>
        <w:t>Ley 21</w:t>
      </w:r>
      <w:r>
        <w:rPr>
          <w:rFonts w:ascii="Times New Roman" w:eastAsia="Times New Roman" w:hAnsi="Times New Roman" w:cs="Times New Roman"/>
          <w:color w:val="000000"/>
        </w:rPr>
        <w:t xml:space="preserve"> na própria Assembleia Constituinte de 1991, o Brasil só veio a aprovar o DL 5051 15 anos após a aprovação da Convenção 169 pela OIT e sob grande pressão política dos povos indígenas e dos movimentos indigenistas. </w:t>
      </w:r>
    </w:p>
    <w:p w14:paraId="5A2FBDF8" w14:textId="77777777" w:rsidR="002852F7" w:rsidRDefault="00000000">
      <w:pPr>
        <w:pBdr>
          <w:top w:val="nil"/>
          <w:left w:val="nil"/>
          <w:bottom w:val="nil"/>
          <w:right w:val="nil"/>
          <w:between w:val="nil"/>
        </w:pBdr>
        <w:spacing w:line="36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diferença desses cenários é reflexo dos processos constituintes de cada país. Fato é que tanto o DL 5051/04 quanto a </w:t>
      </w:r>
      <w:r>
        <w:rPr>
          <w:rFonts w:ascii="Times New Roman" w:eastAsia="Times New Roman" w:hAnsi="Times New Roman" w:cs="Times New Roman"/>
          <w:i/>
          <w:color w:val="000000"/>
        </w:rPr>
        <w:t>Ley 21 de 1991</w:t>
      </w:r>
      <w:r>
        <w:rPr>
          <w:rFonts w:ascii="Times New Roman" w:eastAsia="Times New Roman" w:hAnsi="Times New Roman" w:cs="Times New Roman"/>
          <w:color w:val="000000"/>
        </w:rPr>
        <w:t xml:space="preserve"> se tornaram e são até hoje, na prática, a principal fonte do Direito Indigenista em ambos os países, principalmente, pela ineficácia das suas constituições e pela omissão de seus poderes legislativos.</w:t>
      </w:r>
    </w:p>
    <w:p w14:paraId="7497ABE2" w14:textId="77777777" w:rsidR="002852F7" w:rsidRDefault="002852F7">
      <w:pPr>
        <w:pBdr>
          <w:top w:val="nil"/>
          <w:left w:val="nil"/>
          <w:bottom w:val="nil"/>
          <w:right w:val="nil"/>
          <w:between w:val="nil"/>
        </w:pBdr>
        <w:spacing w:line="360" w:lineRule="auto"/>
        <w:ind w:firstLine="709"/>
        <w:jc w:val="both"/>
        <w:rPr>
          <w:rFonts w:ascii="Calibri" w:eastAsia="Calibri" w:hAnsi="Calibri" w:cs="Calibri"/>
          <w:color w:val="000000"/>
        </w:rPr>
      </w:pPr>
    </w:p>
    <w:p w14:paraId="79A9E04E" w14:textId="77777777" w:rsidR="002852F7"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6. O protagonismo antagônico das cortes constitucionais</w:t>
      </w:r>
    </w:p>
    <w:p w14:paraId="050EFD10" w14:textId="77777777" w:rsidR="002852F7" w:rsidRDefault="002852F7">
      <w:pPr>
        <w:pBdr>
          <w:top w:val="nil"/>
          <w:left w:val="nil"/>
          <w:bottom w:val="nil"/>
          <w:right w:val="nil"/>
          <w:between w:val="nil"/>
        </w:pBdr>
        <w:spacing w:line="360" w:lineRule="auto"/>
        <w:ind w:left="709"/>
        <w:jc w:val="both"/>
        <w:rPr>
          <w:rFonts w:ascii="Calibri" w:eastAsia="Calibri" w:hAnsi="Calibri" w:cs="Calibri"/>
          <w:b/>
          <w:color w:val="000000"/>
        </w:rPr>
      </w:pPr>
    </w:p>
    <w:p w14:paraId="2B0EF182" w14:textId="77777777" w:rsidR="002852F7" w:rsidRDefault="00000000">
      <w:pPr>
        <w:pBdr>
          <w:top w:val="nil"/>
          <w:left w:val="nil"/>
          <w:bottom w:val="nil"/>
          <w:right w:val="nil"/>
          <w:between w:val="nil"/>
        </w:pBdr>
        <w:spacing w:line="360" w:lineRule="auto"/>
        <w:ind w:left="-11" w:firstLine="86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Na Colômbia, foram instituídas a Corte Constitucional e Ação de Tutelas na Constituição de 1991 com a função única de controlar e interpretar o texto constitucional, sob grande influência do Direito Internacional dos Direitos Humanos. Essa influência tem sido observada principalmente na atuação da CC em relação aos direitos dos povos indígenas, seu principal foco de atuação desde a sua criação. Atuando nas lacunas da lei criadas pelo desinteresse do Poder Legislativo, a CC efetivou direitos como o direito de consulta e participação dos povos indígenas e a JEI. </w:t>
      </w:r>
    </w:p>
    <w:p w14:paraId="7753BF85" w14:textId="77777777" w:rsidR="002852F7" w:rsidRDefault="00000000">
      <w:pPr>
        <w:pBdr>
          <w:top w:val="nil"/>
          <w:left w:val="nil"/>
          <w:bottom w:val="nil"/>
          <w:right w:val="nil"/>
          <w:between w:val="nil"/>
        </w:pBdr>
        <w:spacing w:line="360" w:lineRule="auto"/>
        <w:ind w:left="-11" w:firstLine="86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Igualmente fundamental e proativa tem sido a atuação da CC em relação às terras indígenas que não estão sob o regime do </w:t>
      </w:r>
      <w:r>
        <w:rPr>
          <w:rFonts w:ascii="Times New Roman" w:eastAsia="Times New Roman" w:hAnsi="Times New Roman" w:cs="Times New Roman"/>
          <w:i/>
          <w:color w:val="000000"/>
        </w:rPr>
        <w:t>Resguardo</w:t>
      </w:r>
      <w:r>
        <w:rPr>
          <w:rFonts w:ascii="Times New Roman" w:eastAsia="Times New Roman" w:hAnsi="Times New Roman" w:cs="Times New Roman"/>
          <w:color w:val="000000"/>
        </w:rPr>
        <w:t>, concedendo-o a essas comunidades. A Corte reconheceu os povos indígenas enquanto sujeitos coletivos de direitos fundamentais, permitindo que estes tenham acesso a Ação de Tutela enquanto coletivo e não só como indivíduos, criando um novo sujeito de direito que não é pessoa física ou pessoa jurídica (GARZÓN, 2008, p. 111).</w:t>
      </w:r>
    </w:p>
    <w:p w14:paraId="62E75377" w14:textId="77777777" w:rsidR="002852F7" w:rsidRDefault="00000000">
      <w:pPr>
        <w:pBdr>
          <w:top w:val="nil"/>
          <w:left w:val="nil"/>
          <w:bottom w:val="nil"/>
          <w:right w:val="nil"/>
          <w:between w:val="nil"/>
        </w:pBdr>
        <w:spacing w:line="360" w:lineRule="auto"/>
        <w:ind w:left="-11" w:firstLine="862"/>
        <w:jc w:val="both"/>
        <w:rPr>
          <w:rFonts w:ascii="Times New Roman" w:eastAsia="Times New Roman" w:hAnsi="Times New Roman" w:cs="Times New Roman"/>
          <w:color w:val="000000"/>
        </w:rPr>
      </w:pPr>
      <w:r>
        <w:rPr>
          <w:rFonts w:ascii="Times New Roman" w:eastAsia="Times New Roman" w:hAnsi="Times New Roman" w:cs="Times New Roman"/>
          <w:color w:val="000000"/>
        </w:rPr>
        <w:t>A CC e os povos indígenas interagem mutuamente em prol de seus objetivos, os indígenas em busca de amparo jurídico e a Corte em busca de legitimidade e credibilidade no cenário internacional, principalmente frente ao Sistema Interamericano de Direitos Humanos (SIDH). Em face da desproporção entre a porcentagem da população indígena e de ações de tutela julgadas e revisadas sobre direitos dos povos indígenas (GARZÓN, 2008, p. 110), assim como da discricionariedade da Corte em atuar majoritariamente sobre o tema, surgiram questionamentos e acusações sobre um possível ativismo judicial da CC.</w:t>
      </w:r>
    </w:p>
    <w:p w14:paraId="5F79E9B3" w14:textId="77777777" w:rsidR="002852F7" w:rsidRDefault="00000000">
      <w:pPr>
        <w:pBdr>
          <w:top w:val="nil"/>
          <w:left w:val="nil"/>
          <w:bottom w:val="nil"/>
          <w:right w:val="nil"/>
          <w:between w:val="nil"/>
        </w:pBdr>
        <w:spacing w:line="360" w:lineRule="auto"/>
        <w:ind w:left="-11" w:firstLine="862"/>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No Brasil, o responsável por salvaguardar os direitos constitucionais é o Supremo Tribunal Federal (STF), que acumula a competência de Corte Constitucional e a competência de Supremo Tribunal, primeira diferença observada em relação à Colômbia. A diferença mais significativa entre as cortes é o contexto de fundação de cada uma delas, que influencia diretamente as suas decisões. Enquanto a CC foi criada sob o contexto da redemocratização e do multiculturalismo da Constituinte, o STF foi criado sob o seguinte cenário, nas palavras da Ministra Ellen Gracie: </w:t>
      </w:r>
    </w:p>
    <w:p w14:paraId="63076053" w14:textId="77777777" w:rsidR="002852F7" w:rsidRDefault="002852F7">
      <w:pPr>
        <w:pBdr>
          <w:top w:val="nil"/>
          <w:left w:val="nil"/>
          <w:bottom w:val="nil"/>
          <w:right w:val="nil"/>
          <w:between w:val="nil"/>
        </w:pBdr>
        <w:spacing w:line="360" w:lineRule="auto"/>
        <w:ind w:left="-11" w:firstLine="862"/>
        <w:jc w:val="both"/>
        <w:rPr>
          <w:rFonts w:ascii="Calibri" w:eastAsia="Calibri" w:hAnsi="Calibri" w:cs="Calibri"/>
          <w:color w:val="000000"/>
        </w:rPr>
      </w:pPr>
    </w:p>
    <w:p w14:paraId="0BBC8F14" w14:textId="6DF44F10" w:rsidR="002852F7" w:rsidRPr="00344C21" w:rsidRDefault="00000000" w:rsidP="00344C21">
      <w:pPr>
        <w:pBdr>
          <w:top w:val="nil"/>
          <w:left w:val="nil"/>
          <w:bottom w:val="nil"/>
          <w:right w:val="nil"/>
          <w:between w:val="nil"/>
        </w:pBdr>
        <w:ind w:left="226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 Supremo Tribunal Federal também se volta para o seu passado. </w:t>
      </w:r>
      <w:r w:rsidR="00344C21">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w:t>
      </w:r>
      <w:r w:rsidR="00344C21">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em 10 de maio de 1808, por alvará expedido pelo Príncipe Regente, foi a Relação da cidade de São Sebastião do Rio de Janeiro elevada à Casa de Suplicação do Brasil, vale dizer, a última instância judiciária, onde terminariam os feitos, sem mais atuação da Casa de Suplicação de Lisboa. </w:t>
      </w:r>
      <w:r w:rsidR="00344C21">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w:t>
      </w:r>
      <w:r w:rsidR="00344C21">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À Casa de Suplicação, sucedeu, durante o Império, o Supremo Tribunal de Justiça [9/1/1829] e, na República, o Supremo Tribunal Federal [28/2/1891], sem solução de continuidade e com a permanência de muitos de seus membros nas transições (CNJ, 2007, p. 6).</w:t>
      </w:r>
    </w:p>
    <w:p w14:paraId="5C2DE8CA" w14:textId="77777777" w:rsidR="00344C21" w:rsidRDefault="00344C21">
      <w:pPr>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p>
    <w:p w14:paraId="5BC9BC12" w14:textId="508A13FE" w:rsidR="002852F7" w:rsidRDefault="00000000">
      <w:pPr>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rPr>
        <w:t>O STF é e se identifica institucionalmente como legatário do Supremo Tribunal do período colonial, no qual os povos indígenas foram substancialmente subjugados, suprimidos e expropriados de suas terras. O STF sucedeu em 1891, quase um século antes da promulgação da Constituição vigente. A sua caracterização institucional se opõe por si só ao Direito Indigenista e reforça a relação histórica entre colonizador e colonizado.</w:t>
      </w:r>
    </w:p>
    <w:p w14:paraId="6540D527" w14:textId="77777777" w:rsidR="002852F7" w:rsidRDefault="00000000">
      <w:pPr>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rPr>
        <w:t>No Brasil ocorreu o oposto à Colômbia, no Brasil os ministros do STF interpretaram de forma reticente o aumento de demandas sobre o tema, defendendo que se estabelecesse um limite de competência do Tribunal em relação aos direitos dos povos indígenas (GARZÓN, 2008, p. 76). No STF, em contraponto à CC, os povos indígenas e seus representantes não são os principais sujeitos ativos dos casos julgados:</w:t>
      </w:r>
    </w:p>
    <w:p w14:paraId="033E387A" w14:textId="77777777" w:rsidR="002852F7" w:rsidRDefault="002852F7">
      <w:pPr>
        <w:pBdr>
          <w:top w:val="nil"/>
          <w:left w:val="nil"/>
          <w:bottom w:val="nil"/>
          <w:right w:val="nil"/>
          <w:between w:val="nil"/>
        </w:pBdr>
        <w:spacing w:line="360" w:lineRule="auto"/>
        <w:ind w:firstLine="851"/>
        <w:jc w:val="both"/>
        <w:rPr>
          <w:rFonts w:ascii="Calibri" w:eastAsia="Calibri" w:hAnsi="Calibri" w:cs="Calibri"/>
          <w:color w:val="000000"/>
        </w:rPr>
      </w:pPr>
    </w:p>
    <w:p w14:paraId="050944BD" w14:textId="2F844126" w:rsidR="002852F7" w:rsidRDefault="00000000">
      <w:pPr>
        <w:pBdr>
          <w:top w:val="nil"/>
          <w:left w:val="nil"/>
          <w:bottom w:val="nil"/>
          <w:right w:val="nil"/>
          <w:between w:val="nil"/>
        </w:pBdr>
        <w:ind w:left="226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Com relação às pessoas que interpelam os juízes, denominadas no léxico jurídico de: sujeitos ativos, por serem os que literalmente ativam o aparelho judicial, ganha destaque o Ministério Público, presente em aproximadamente 30% dos casos. Em segundo lugar se encontram as pessoas físicas, que em sua maioria são proprietários de terras que ingressam na justiça para questionar o processo administrativo de demarcação de terras indígenas, (...) Em terceiro lugar estão os Estados da Federação, que frequentemente questionam os critérios de definição de terras devolutas, uma vez que as terras demarcadas como indígenas em muitos casos estão ocupadas por particulares com títulos de transferência de propriedade outorgados diretamente pelos Estados, os quais consideram parte das terras indígenas como devolutas (GARZÓN, 2008, p. 78).</w:t>
      </w:r>
    </w:p>
    <w:p w14:paraId="4F9EC4C7" w14:textId="77777777" w:rsidR="002852F7" w:rsidRDefault="002852F7">
      <w:pPr>
        <w:pBdr>
          <w:top w:val="nil"/>
          <w:left w:val="nil"/>
          <w:bottom w:val="nil"/>
          <w:right w:val="nil"/>
          <w:between w:val="nil"/>
        </w:pBdr>
        <w:spacing w:line="360" w:lineRule="auto"/>
        <w:ind w:left="2268"/>
        <w:jc w:val="both"/>
        <w:rPr>
          <w:rFonts w:ascii="Times New Roman" w:eastAsia="Times New Roman" w:hAnsi="Times New Roman" w:cs="Times New Roman"/>
          <w:color w:val="000000"/>
          <w:sz w:val="20"/>
          <w:szCs w:val="20"/>
        </w:rPr>
      </w:pPr>
    </w:p>
    <w:p w14:paraId="18EFE705" w14:textId="77777777" w:rsidR="002852F7" w:rsidRDefault="00000000">
      <w:pPr>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 principal objeto de litígio em relação aos direitos dos povos indígenas no STF são as terras indígenas, enquanto na CC colombiana são os direitos políticos relacionados à autonomia dos povos indígenas e, principalmente, relacionados ao reconhecimento da JEI. </w:t>
      </w:r>
    </w:p>
    <w:p w14:paraId="467E621D" w14:textId="77777777" w:rsidR="002852F7" w:rsidRDefault="00000000">
      <w:pPr>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rPr>
        <w:t>Apenas em 1994 o STF passou a ter uma atuação mais relevante nos litígios sobre os povos indígenas, em que se destacam as disputas sobre a demarcação das terras indígenas. Isto, pois em 1994 findou o prazo constitucional de 5 anos para a conclusão da devida demarcação dessas terras e a União descumpriu o determinado pelo art. 67 dos ADCT, ampliando os conflitos sobre a posse das terras indígenas entre as comunidades indígenas e não indígenas, que, inevitavelmente, alcançaram o Poder Judiciário e o próprio STF.</w:t>
      </w:r>
    </w:p>
    <w:p w14:paraId="7986CE52" w14:textId="77777777" w:rsidR="002852F7" w:rsidRDefault="00000000">
      <w:pPr>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Desde a promulgação da Constituição o principal tema debatido no STF é a tese do Marco Temporal, que foi rejeitada em 21/09/2023 no julgamento do Tema 1.031, prevalecendo a teoria do Indigenato e a interpretação dos art. 231 e 232 da Constituição como cláusulas pétreas. Apesar dessa decisão positiva, os povos indígenas ainda correm o risco de serem inviabilizados o devido reconhecimento e demarcação de suas terras, pois, como retaliação, o movimento anti-indígena tenta implementar a tese do Marco Temporal pela via legislativa através da Lei 14701/23 – Lei do Marco Temporal, promulgada pelo Congresso Nacional em 20/10/2023, e da PEC 48/2023 – a "PEC da Morte", sob análise de admissibilidade na CCJ. </w:t>
      </w:r>
    </w:p>
    <w:p w14:paraId="43A60D2F" w14:textId="77777777" w:rsidR="002852F7" w:rsidRDefault="00000000">
      <w:pPr>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rPr>
        <w:t>O Supremo ainda demonstra demasiada parcimônia no reconhecimento pleno do Indigenato e na sua devida efetivação, pois ainda decidirá, no Tema 1.031, a possibilidade de indenização para os ocupantes de boa-fé e de flexibilização da exploração dos recursos naturais em terras indígenas, o que inviabilizaria financeiramente a demarcação dos territórios e a plenitude dos modos de vida desses povos, em desacordo com a Convenção 169 da OIT. Além disso, o ministro Gilmar Mendes, frente a investida legislativa da tese do Marco Temporal, recuou com o posicionamento do STF e abriu, monocraticamente, um processo de mediação e conciliação sobre o tema, agendado para ocorrer entre os dias 05/08/2024 e 18/12/2024, reconduzindo a batalha secular entre os povos indígenas e o colonialismo ao Supremo e restabelecendo a discussão sobre o Marco Temporal.</w:t>
      </w:r>
    </w:p>
    <w:p w14:paraId="5454A568" w14:textId="77777777" w:rsidR="002852F7" w:rsidRDefault="00000000">
      <w:pPr>
        <w:pBdr>
          <w:top w:val="nil"/>
          <w:left w:val="nil"/>
          <w:bottom w:val="nil"/>
          <w:right w:val="nil"/>
          <w:between w:val="nil"/>
        </w:pBdr>
        <w:spacing w:line="360" w:lineRule="auto"/>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Enquanto a CC se sobrepõe aos conflitos políticos sobre o tema no Poder Legislativo, flertando abertamente com o SIDH, no Brasil, o STF, apesar da sua importância na tentativa de fixação da teoria do Indigenato, ainda se posiciona de forma relutante, flexível e cedente contra </w:t>
      </w:r>
      <w:r>
        <w:rPr>
          <w:rFonts w:ascii="Times New Roman" w:eastAsia="Times New Roman" w:hAnsi="Times New Roman" w:cs="Times New Roman"/>
          <w:color w:val="000000"/>
        </w:rPr>
        <w:lastRenderedPageBreak/>
        <w:t>as investidas políticas anti-indígenas do Congresso Nacional. Embora ambas as cortes sejam corriqueiramente acusadas de ativismo judicial pelos seus posicionamentos, representam, em ambos os casos, a principal esperança dos povos indígenas na efetivação de seus direitos.</w:t>
      </w:r>
    </w:p>
    <w:p w14:paraId="4E5A5EBF" w14:textId="77777777" w:rsidR="002852F7" w:rsidRDefault="002852F7">
      <w:pPr>
        <w:pBdr>
          <w:top w:val="nil"/>
          <w:left w:val="nil"/>
          <w:bottom w:val="nil"/>
          <w:right w:val="nil"/>
          <w:between w:val="nil"/>
        </w:pBdr>
        <w:spacing w:line="360" w:lineRule="auto"/>
        <w:ind w:firstLine="851"/>
        <w:jc w:val="both"/>
        <w:rPr>
          <w:rFonts w:ascii="Calibri" w:eastAsia="Calibri" w:hAnsi="Calibri" w:cs="Calibri"/>
          <w:color w:val="000000"/>
        </w:rPr>
      </w:pPr>
    </w:p>
    <w:p w14:paraId="7BF1A8AA" w14:textId="77777777" w:rsidR="002852F7" w:rsidRDefault="00000000">
      <w:pPr>
        <w:pBdr>
          <w:top w:val="nil"/>
          <w:left w:val="nil"/>
          <w:bottom w:val="nil"/>
          <w:right w:val="nil"/>
          <w:between w:val="nil"/>
        </w:pBdr>
        <w:spacing w:line="276" w:lineRule="auto"/>
        <w:ind w:left="-11"/>
        <w:jc w:val="both"/>
        <w:rPr>
          <w:rFonts w:ascii="Times New Roman" w:eastAsia="Times New Roman" w:hAnsi="Times New Roman" w:cs="Times New Roman"/>
          <w:color w:val="000000"/>
        </w:rPr>
      </w:pPr>
      <w:r>
        <w:rPr>
          <w:rFonts w:ascii="Times New Roman" w:eastAsia="Times New Roman" w:hAnsi="Times New Roman" w:cs="Times New Roman"/>
          <w:b/>
          <w:color w:val="000000"/>
        </w:rPr>
        <w:t>Considerações finais</w:t>
      </w:r>
    </w:p>
    <w:p w14:paraId="00E07574" w14:textId="77777777" w:rsidR="002852F7" w:rsidRDefault="002852F7">
      <w:pPr>
        <w:pBdr>
          <w:top w:val="nil"/>
          <w:left w:val="nil"/>
          <w:bottom w:val="nil"/>
          <w:right w:val="nil"/>
          <w:between w:val="nil"/>
        </w:pBdr>
        <w:spacing w:line="276" w:lineRule="auto"/>
        <w:ind w:left="-11"/>
        <w:jc w:val="both"/>
        <w:rPr>
          <w:rFonts w:ascii="Calibri" w:eastAsia="Calibri" w:hAnsi="Calibri" w:cs="Calibri"/>
          <w:b/>
          <w:color w:val="000000"/>
        </w:rPr>
      </w:pPr>
    </w:p>
    <w:p w14:paraId="3E0681A3" w14:textId="77777777" w:rsidR="002852F7" w:rsidRDefault="00000000">
      <w:pPr>
        <w:pBdr>
          <w:top w:val="nil"/>
          <w:left w:val="nil"/>
          <w:bottom w:val="nil"/>
          <w:right w:val="nil"/>
          <w:between w:val="nil"/>
        </w:pBdr>
        <w:spacing w:line="360" w:lineRule="auto"/>
        <w:ind w:left="-11" w:firstLine="86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No desenvolvimento do presente trabalho, pôde-se observar que o Direito Indigenista é mais consolidado na Colômbia do que no Brasil, pois a Constituição Política colombiana possui um texto normativo muito mais objetivo e profundo que a Constituição Cidadã, convergindo melhor com o Direito Indigenista Internacional. Soma-se a isso, o fato de que a CC assumiu para si como estandarte a garantia e proteção dos direitos dos povos indígenas, enquanto o STF, ainda reticente, se opôs por muito tempo à garantia e às conquistas do Direito Indigenista. </w:t>
      </w:r>
    </w:p>
    <w:p w14:paraId="1AA82149" w14:textId="77777777" w:rsidR="002852F7" w:rsidRDefault="00000000">
      <w:pPr>
        <w:pBdr>
          <w:top w:val="nil"/>
          <w:left w:val="nil"/>
          <w:bottom w:val="nil"/>
          <w:right w:val="nil"/>
          <w:between w:val="nil"/>
        </w:pBdr>
        <w:spacing w:line="360" w:lineRule="auto"/>
        <w:ind w:left="-11" w:firstLine="86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Ambos os países apresentam mazelas em relação às suas políticas e legislações indigenistas em função da supremacia de grupos e interesses políticos anti-indígenas, não efetivando os direitos reconhecidos aos povos originários nas constituições. Evidencia-se que o assimilacionismo e o colonialismo predominante na história dos países não foram superados com a promulgação da Constituição Cidadã e da Constituição Política colombiana, como induzido pelos seus processos constituintes. </w:t>
      </w:r>
    </w:p>
    <w:p w14:paraId="3F11AF02" w14:textId="77777777" w:rsidR="002852F7" w:rsidRDefault="00000000">
      <w:pPr>
        <w:pBdr>
          <w:top w:val="nil"/>
          <w:left w:val="nil"/>
          <w:bottom w:val="nil"/>
          <w:right w:val="nil"/>
          <w:between w:val="nil"/>
        </w:pBdr>
        <w:spacing w:line="360" w:lineRule="auto"/>
        <w:ind w:left="-11" w:firstLine="862"/>
        <w:jc w:val="both"/>
        <w:rPr>
          <w:rFonts w:ascii="Times New Roman" w:eastAsia="Times New Roman" w:hAnsi="Times New Roman" w:cs="Times New Roman"/>
          <w:color w:val="000000"/>
        </w:rPr>
      </w:pPr>
      <w:r>
        <w:rPr>
          <w:rFonts w:ascii="Times New Roman" w:eastAsia="Times New Roman" w:hAnsi="Times New Roman" w:cs="Times New Roman"/>
          <w:color w:val="000000"/>
        </w:rPr>
        <w:t>As pequenas, mas importantes conquistas de direitos pelos povos indígenas desde a colonização até o presente momento só ocorreram sob incessante pressão destes e de seus aliados e mediante troca de capital simbólico. Os Estados do Brasil e da Colômbia reconhecem o mínimo de direitos aos povos indígenas e se apropriam da vulnerabilidade destes para legitimar suas instituições frente à sociedade nacional e, principalmente, internacional.</w:t>
      </w:r>
    </w:p>
    <w:p w14:paraId="2473B020" w14:textId="77777777" w:rsidR="002852F7" w:rsidRDefault="00000000">
      <w:pPr>
        <w:pBdr>
          <w:top w:val="nil"/>
          <w:left w:val="nil"/>
          <w:bottom w:val="nil"/>
          <w:right w:val="nil"/>
          <w:between w:val="nil"/>
        </w:pBdr>
        <w:spacing w:line="360" w:lineRule="auto"/>
        <w:ind w:left="-11" w:firstLine="862"/>
        <w:jc w:val="both"/>
        <w:rPr>
          <w:rFonts w:ascii="Times New Roman" w:eastAsia="Times New Roman" w:hAnsi="Times New Roman" w:cs="Times New Roman"/>
          <w:color w:val="000000"/>
        </w:rPr>
      </w:pPr>
      <w:r>
        <w:rPr>
          <w:rFonts w:ascii="Times New Roman" w:eastAsia="Times New Roman" w:hAnsi="Times New Roman" w:cs="Times New Roman"/>
          <w:color w:val="000000"/>
        </w:rPr>
        <w:t>Conclui-se que o cenário do Direito Indigenista em Brasil e Colômbia são muito semelhantes e que há a expectativa de ampliação das conquistas e da efetivação dos direitos dos povos indígenas, frente às renovações políticas ocorridas em 2022/2023 em ambos os países, e entre avanços e retrocessos, tentativa de reformulação do posicionamento do STF sobre o tema nos últimos anos. Pois, o intercâmbio jurídico seria essencial para o avanço do tema no Brasil, principalmente, em relação à atuação da CC na Colômbia.</w:t>
      </w:r>
    </w:p>
    <w:p w14:paraId="053891A6" w14:textId="77777777" w:rsidR="002852F7" w:rsidRDefault="002852F7">
      <w:pPr>
        <w:pBdr>
          <w:bottom w:val="single" w:sz="12" w:space="1" w:color="000000"/>
        </w:pBdr>
        <w:spacing w:line="360" w:lineRule="auto"/>
        <w:jc w:val="both"/>
        <w:rPr>
          <w:rFonts w:ascii="Times New Roman" w:eastAsia="Times New Roman" w:hAnsi="Times New Roman" w:cs="Times New Roman"/>
        </w:rPr>
      </w:pPr>
    </w:p>
    <w:p w14:paraId="66382E7F" w14:textId="77777777" w:rsidR="002852F7" w:rsidRDefault="002852F7">
      <w:pPr>
        <w:spacing w:after="120" w:line="360" w:lineRule="auto"/>
        <w:jc w:val="both"/>
        <w:rPr>
          <w:rFonts w:ascii="Georgia" w:eastAsia="Georgia" w:hAnsi="Georgia" w:cs="Georgia"/>
        </w:rPr>
      </w:pPr>
    </w:p>
    <w:p w14:paraId="145CA9E3" w14:textId="77777777" w:rsidR="002852F7" w:rsidRDefault="00000000">
      <w:pPr>
        <w:spacing w:after="120" w:line="360" w:lineRule="auto"/>
        <w:jc w:val="both"/>
        <w:rPr>
          <w:rFonts w:ascii="Times New Roman" w:eastAsia="Times New Roman" w:hAnsi="Times New Roman" w:cs="Times New Roman"/>
          <w:b/>
        </w:rPr>
      </w:pPr>
      <w:r>
        <w:rPr>
          <w:rFonts w:ascii="Times New Roman" w:eastAsia="Times New Roman" w:hAnsi="Times New Roman" w:cs="Times New Roman"/>
          <w:b/>
        </w:rPr>
        <w:t>Referências</w:t>
      </w:r>
    </w:p>
    <w:p w14:paraId="41EE2495" w14:textId="277BF571" w:rsidR="002852F7" w:rsidRDefault="00000000" w:rsidP="00431FEC">
      <w:pPr>
        <w:pBdr>
          <w:top w:val="nil"/>
          <w:left w:val="nil"/>
          <w:bottom w:val="nil"/>
          <w:right w:val="nil"/>
          <w:between w:val="nil"/>
        </w:pBdr>
        <w:spacing w:before="200" w:after="240"/>
        <w:rPr>
          <w:rFonts w:ascii="Times New Roman" w:eastAsia="Times New Roman" w:hAnsi="Times New Roman" w:cs="Times New Roman"/>
          <w:color w:val="000000"/>
        </w:rPr>
      </w:pPr>
      <w:r>
        <w:rPr>
          <w:rFonts w:ascii="Times New Roman" w:eastAsia="Times New Roman" w:hAnsi="Times New Roman" w:cs="Times New Roman"/>
          <w:color w:val="000000"/>
        </w:rPr>
        <w:t xml:space="preserve">ARAÚJO, Ana Valéria; CARVALHO, Joênia Batista; DE OLIVEIRA, Paulo Celso; JÓFEJ, Lúcia Fernanda; GUARANY, Vilmar Martins Moura; ANAYA, S.James (org.). </w:t>
      </w:r>
      <w:r>
        <w:rPr>
          <w:rFonts w:ascii="Times New Roman" w:eastAsia="Times New Roman" w:hAnsi="Times New Roman" w:cs="Times New Roman"/>
          <w:b/>
          <w:color w:val="000000"/>
        </w:rPr>
        <w:t xml:space="preserve">Povos Indígenas e a Lei dos “Brancos”: </w:t>
      </w:r>
      <w:r>
        <w:rPr>
          <w:rFonts w:ascii="Times New Roman" w:eastAsia="Times New Roman" w:hAnsi="Times New Roman" w:cs="Times New Roman"/>
          <w:color w:val="000000"/>
        </w:rPr>
        <w:t>o direito à diferença. Edição única. Brasília: MEC/Unesco, v. 1</w:t>
      </w:r>
      <w:r w:rsidR="009F58F3">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009F58F3">
        <w:rPr>
          <w:rFonts w:ascii="Times New Roman" w:eastAsia="Times New Roman" w:hAnsi="Times New Roman" w:cs="Times New Roman"/>
          <w:color w:val="000000"/>
        </w:rPr>
        <w:t>2006.</w:t>
      </w:r>
    </w:p>
    <w:p w14:paraId="67FE4E07" w14:textId="77777777" w:rsidR="002852F7" w:rsidRDefault="00000000" w:rsidP="00431FEC">
      <w:pPr>
        <w:pBdr>
          <w:top w:val="nil"/>
          <w:left w:val="nil"/>
          <w:bottom w:val="nil"/>
          <w:right w:val="nil"/>
          <w:between w:val="nil"/>
        </w:pBdr>
        <w:spacing w:before="200" w:after="200"/>
        <w:rPr>
          <w:rFonts w:ascii="Calibri" w:eastAsia="Calibri" w:hAnsi="Calibri" w:cs="Calibri"/>
          <w:color w:val="000000"/>
        </w:rPr>
      </w:pPr>
      <w:r>
        <w:rPr>
          <w:rFonts w:ascii="Times New Roman" w:eastAsia="Times New Roman" w:hAnsi="Times New Roman" w:cs="Times New Roman"/>
          <w:color w:val="000000"/>
          <w:highlight w:val="white"/>
        </w:rPr>
        <w:t>BRASIL. Constituição (1988). </w:t>
      </w:r>
      <w:r>
        <w:rPr>
          <w:rFonts w:ascii="Times New Roman" w:eastAsia="Times New Roman" w:hAnsi="Times New Roman" w:cs="Times New Roman"/>
          <w:b/>
          <w:color w:val="000000"/>
          <w:highlight w:val="white"/>
        </w:rPr>
        <w:t>Constituição</w:t>
      </w:r>
      <w:r>
        <w:rPr>
          <w:rFonts w:ascii="Times New Roman" w:eastAsia="Times New Roman" w:hAnsi="Times New Roman" w:cs="Times New Roman"/>
          <w:color w:val="000000"/>
          <w:highlight w:val="white"/>
        </w:rPr>
        <w:t> </w:t>
      </w:r>
      <w:r>
        <w:rPr>
          <w:rFonts w:ascii="Times New Roman" w:eastAsia="Times New Roman" w:hAnsi="Times New Roman" w:cs="Times New Roman"/>
          <w:b/>
          <w:color w:val="000000"/>
          <w:highlight w:val="white"/>
        </w:rPr>
        <w:t>da República Federativa do Brasil</w:t>
      </w:r>
      <w:r>
        <w:rPr>
          <w:rFonts w:ascii="Times New Roman" w:eastAsia="Times New Roman" w:hAnsi="Times New Roman" w:cs="Times New Roman"/>
          <w:color w:val="000000"/>
          <w:highlight w:val="white"/>
        </w:rPr>
        <w:t>. Brasília, DF: [s.n.], 1988.</w:t>
      </w:r>
    </w:p>
    <w:p w14:paraId="220463F2" w14:textId="77777777" w:rsidR="002852F7" w:rsidRDefault="00000000" w:rsidP="00431FEC">
      <w:pPr>
        <w:pBdr>
          <w:top w:val="nil"/>
          <w:left w:val="nil"/>
          <w:bottom w:val="nil"/>
          <w:right w:val="nil"/>
          <w:between w:val="nil"/>
        </w:pBdr>
        <w:spacing w:before="200" w:after="200"/>
        <w:rPr>
          <w:rFonts w:ascii="Calibri" w:eastAsia="Calibri" w:hAnsi="Calibri" w:cs="Calibri"/>
          <w:color w:val="000000"/>
        </w:rPr>
      </w:pPr>
      <w:r>
        <w:rPr>
          <w:rFonts w:ascii="Times New Roman" w:eastAsia="Times New Roman" w:hAnsi="Times New Roman" w:cs="Times New Roman"/>
          <w:color w:val="000000"/>
          <w:highlight w:val="white"/>
        </w:rPr>
        <w:t xml:space="preserve">BRASIL. </w:t>
      </w:r>
      <w:r>
        <w:rPr>
          <w:rFonts w:ascii="Times New Roman" w:eastAsia="Times New Roman" w:hAnsi="Times New Roman" w:cs="Times New Roman"/>
          <w:b/>
          <w:color w:val="000000"/>
          <w:highlight w:val="white"/>
        </w:rPr>
        <w:t xml:space="preserve">Projeto de Lei nº 2.057, de 09 de outubro de 1991. </w:t>
      </w:r>
      <w:r>
        <w:rPr>
          <w:rFonts w:ascii="Times New Roman" w:eastAsia="Times New Roman" w:hAnsi="Times New Roman" w:cs="Times New Roman"/>
          <w:color w:val="000000"/>
          <w:highlight w:val="white"/>
        </w:rPr>
        <w:t xml:space="preserve">Dispõe sobre o Estatuto das Sociedades Indígenas. Brasília: Câmara dos Deputados, 1991. Disponível em: </w:t>
      </w:r>
      <w:hyperlink r:id="rId8">
        <w:r w:rsidR="002852F7">
          <w:rPr>
            <w:rFonts w:ascii="Times New Roman" w:eastAsia="Times New Roman" w:hAnsi="Times New Roman" w:cs="Times New Roman"/>
            <w:highlight w:val="white"/>
          </w:rPr>
          <w:t>https://www.camara.leg.br/proposicoesWeb/fichadetramitacao?idProposicao=17569</w:t>
        </w:r>
      </w:hyperlink>
      <w:r>
        <w:rPr>
          <w:rFonts w:ascii="Times New Roman" w:eastAsia="Times New Roman" w:hAnsi="Times New Roman" w:cs="Times New Roman"/>
          <w:highlight w:val="white"/>
        </w:rPr>
        <w:t>.</w:t>
      </w:r>
      <w:r>
        <w:rPr>
          <w:rFonts w:ascii="Times New Roman" w:eastAsia="Times New Roman" w:hAnsi="Times New Roman" w:cs="Times New Roman"/>
          <w:color w:val="000000"/>
          <w:highlight w:val="white"/>
        </w:rPr>
        <w:t xml:space="preserve"> Acesso em 17 out. 2023.</w:t>
      </w:r>
    </w:p>
    <w:p w14:paraId="1D7B08FE" w14:textId="77777777" w:rsidR="002852F7" w:rsidRDefault="00000000" w:rsidP="00431FEC">
      <w:pPr>
        <w:pBdr>
          <w:top w:val="nil"/>
          <w:left w:val="nil"/>
          <w:bottom w:val="nil"/>
          <w:right w:val="nil"/>
          <w:between w:val="nil"/>
        </w:pBdr>
        <w:spacing w:before="200" w:after="200"/>
        <w:rPr>
          <w:rFonts w:ascii="Calibri" w:eastAsia="Calibri" w:hAnsi="Calibri" w:cs="Calibri"/>
          <w:color w:val="000000"/>
        </w:rPr>
      </w:pPr>
      <w:r>
        <w:rPr>
          <w:rFonts w:ascii="Times New Roman" w:eastAsia="Times New Roman" w:hAnsi="Times New Roman" w:cs="Times New Roman"/>
          <w:color w:val="000000"/>
          <w:highlight w:val="white"/>
        </w:rPr>
        <w:t xml:space="preserve">BRASIL. </w:t>
      </w:r>
      <w:r>
        <w:rPr>
          <w:rFonts w:ascii="Times New Roman" w:eastAsia="Times New Roman" w:hAnsi="Times New Roman" w:cs="Times New Roman"/>
          <w:b/>
          <w:color w:val="000000"/>
          <w:highlight w:val="white"/>
        </w:rPr>
        <w:t xml:space="preserve">Proposta de Emenda à Constituição nº 215, de 19 de abril de 2000. </w:t>
      </w:r>
      <w:r>
        <w:rPr>
          <w:rFonts w:ascii="Times New Roman" w:eastAsia="Times New Roman" w:hAnsi="Times New Roman" w:cs="Times New Roman"/>
          <w:color w:val="000000"/>
          <w:highlight w:val="white"/>
        </w:rPr>
        <w:t>Acrescenta o inciso XVIII ao art. 49; modifica o § 4º e acrescenta o § 8º ambos no Art. 231, da Constituição Federal. Brasília: Câmara dos Deputados, 2000. Disponível em: https://www.camara.leg.br/proposicoesWeb/fichadetramitacao?idProposicao=14562. Acesso em: 17 out. 2023.</w:t>
      </w:r>
    </w:p>
    <w:p w14:paraId="1414B618" w14:textId="2E04F719" w:rsidR="002852F7" w:rsidRPr="0034566F" w:rsidRDefault="00000000" w:rsidP="00431FEC">
      <w:pPr>
        <w:pBdr>
          <w:top w:val="nil"/>
          <w:left w:val="nil"/>
          <w:bottom w:val="nil"/>
          <w:right w:val="nil"/>
          <w:between w:val="nil"/>
        </w:pBdr>
        <w:spacing w:before="200"/>
        <w:rPr>
          <w:rFonts w:ascii="Times New Roman" w:eastAsia="Times New Roman" w:hAnsi="Times New Roman" w:cs="Times New Roman"/>
          <w:lang w:val="es-ES"/>
        </w:rPr>
      </w:pPr>
      <w:r>
        <w:rPr>
          <w:rFonts w:ascii="Times New Roman" w:eastAsia="Times New Roman" w:hAnsi="Times New Roman" w:cs="Times New Roman"/>
          <w:color w:val="000000"/>
          <w:highlight w:val="white"/>
        </w:rPr>
        <w:t xml:space="preserve">BRASIL. </w:t>
      </w:r>
      <w:r>
        <w:rPr>
          <w:rFonts w:ascii="Times New Roman" w:eastAsia="Times New Roman" w:hAnsi="Times New Roman" w:cs="Times New Roman"/>
          <w:b/>
          <w:color w:val="000000"/>
          <w:highlight w:val="white"/>
        </w:rPr>
        <w:t>Marco Temporal:</w:t>
      </w:r>
      <w:r>
        <w:rPr>
          <w:rFonts w:ascii="Times New Roman" w:eastAsia="Times New Roman" w:hAnsi="Times New Roman" w:cs="Times New Roman"/>
          <w:color w:val="000000"/>
          <w:highlight w:val="white"/>
        </w:rPr>
        <w:t xml:space="preserve"> para ministro Nunes Marques, data de promulgação da Constituição define ocupação tradicional. </w:t>
      </w:r>
      <w:r w:rsidR="009F58F3">
        <w:rPr>
          <w:rFonts w:ascii="Times New Roman" w:eastAsia="Times New Roman" w:hAnsi="Times New Roman" w:cs="Times New Roman"/>
          <w:color w:val="000000"/>
          <w:highlight w:val="white"/>
        </w:rPr>
        <w:t>STF,</w:t>
      </w:r>
      <w:r>
        <w:rPr>
          <w:rFonts w:ascii="Times New Roman" w:eastAsia="Times New Roman" w:hAnsi="Times New Roman" w:cs="Times New Roman"/>
          <w:color w:val="000000"/>
          <w:highlight w:val="white"/>
        </w:rPr>
        <w:t xml:space="preserve"> 15 de set. 2021. Disponível em: https://portal.stf.jus.br/noticias/verNoticiaDetalhe.asp?idConteudo=473051&amp;ori=1. </w:t>
      </w:r>
      <w:r w:rsidRPr="0034566F">
        <w:rPr>
          <w:rFonts w:ascii="Times New Roman" w:eastAsia="Times New Roman" w:hAnsi="Times New Roman" w:cs="Times New Roman"/>
          <w:color w:val="000000"/>
          <w:highlight w:val="white"/>
          <w:lang w:val="es-ES"/>
        </w:rPr>
        <w:t>Acesso em: 30 jul. 2024.</w:t>
      </w:r>
    </w:p>
    <w:p w14:paraId="799A6492" w14:textId="77777777" w:rsidR="002852F7" w:rsidRDefault="00000000" w:rsidP="00431FEC">
      <w:pPr>
        <w:pBdr>
          <w:top w:val="nil"/>
          <w:left w:val="nil"/>
          <w:bottom w:val="nil"/>
          <w:right w:val="nil"/>
          <w:between w:val="nil"/>
        </w:pBdr>
        <w:shd w:val="clear" w:color="auto" w:fill="FFFFFF"/>
        <w:spacing w:before="200" w:after="200"/>
        <w:rPr>
          <w:rFonts w:ascii="Times New Roman" w:eastAsia="Times New Roman" w:hAnsi="Times New Roman" w:cs="Times New Roman"/>
        </w:rPr>
      </w:pPr>
      <w:r w:rsidRPr="0034566F">
        <w:rPr>
          <w:rFonts w:ascii="Times New Roman" w:eastAsia="Times New Roman" w:hAnsi="Times New Roman" w:cs="Times New Roman"/>
          <w:color w:val="000000"/>
          <w:lang w:val="es-ES"/>
        </w:rPr>
        <w:t xml:space="preserve">CERVERA, César. Así fue la lucha en el Imperio español por defender los derechos de la población indígena. </w:t>
      </w:r>
      <w:r>
        <w:rPr>
          <w:rFonts w:ascii="Times New Roman" w:eastAsia="Times New Roman" w:hAnsi="Times New Roman" w:cs="Times New Roman"/>
          <w:b/>
          <w:color w:val="000000"/>
        </w:rPr>
        <w:t xml:space="preserve">ABC España. </w:t>
      </w:r>
      <w:r>
        <w:rPr>
          <w:rFonts w:ascii="Times New Roman" w:eastAsia="Times New Roman" w:hAnsi="Times New Roman" w:cs="Times New Roman"/>
          <w:color w:val="000000"/>
        </w:rPr>
        <w:t>14 out. 2015. Disponível em: https//www.abc.es/espana/20151014/abci-leyes-espanolas-indias-conquistas-201510132047.hml. Acesso em: 17 out. 2023.</w:t>
      </w:r>
    </w:p>
    <w:p w14:paraId="33113B89" w14:textId="77777777" w:rsidR="002852F7" w:rsidRPr="0034566F" w:rsidRDefault="00000000" w:rsidP="00431FEC">
      <w:pPr>
        <w:pBdr>
          <w:top w:val="nil"/>
          <w:left w:val="nil"/>
          <w:bottom w:val="nil"/>
          <w:right w:val="nil"/>
          <w:between w:val="nil"/>
        </w:pBdr>
        <w:spacing w:before="200" w:after="200"/>
        <w:rPr>
          <w:rFonts w:ascii="Calibri" w:eastAsia="Calibri" w:hAnsi="Calibri" w:cs="Calibri"/>
          <w:color w:val="000000"/>
          <w:lang w:val="es-ES"/>
        </w:rPr>
      </w:pPr>
      <w:r w:rsidRPr="0034566F">
        <w:rPr>
          <w:rFonts w:ascii="Times New Roman" w:eastAsia="Times New Roman" w:hAnsi="Times New Roman" w:cs="Times New Roman"/>
          <w:color w:val="000000"/>
          <w:highlight w:val="white"/>
          <w:lang w:val="es-ES"/>
        </w:rPr>
        <w:t>COLÔMBIA. [Constituição (1991)]. </w:t>
      </w:r>
      <w:r w:rsidRPr="0034566F">
        <w:rPr>
          <w:rFonts w:ascii="Times New Roman" w:eastAsia="Times New Roman" w:hAnsi="Times New Roman" w:cs="Times New Roman"/>
          <w:b/>
          <w:color w:val="000000"/>
          <w:highlight w:val="white"/>
          <w:lang w:val="es-ES"/>
        </w:rPr>
        <w:t>Constitución Política de Colômbia</w:t>
      </w:r>
      <w:r w:rsidRPr="0034566F">
        <w:rPr>
          <w:rFonts w:ascii="Times New Roman" w:eastAsia="Times New Roman" w:hAnsi="Times New Roman" w:cs="Times New Roman"/>
          <w:color w:val="000000"/>
          <w:highlight w:val="white"/>
          <w:lang w:val="es-ES"/>
        </w:rPr>
        <w:t>. Bogotá: [</w:t>
      </w:r>
      <w:r w:rsidRPr="0034566F">
        <w:rPr>
          <w:rFonts w:ascii="Times New Roman" w:eastAsia="Times New Roman" w:hAnsi="Times New Roman" w:cs="Times New Roman"/>
          <w:i/>
          <w:color w:val="000000"/>
          <w:highlight w:val="white"/>
          <w:lang w:val="es-ES"/>
        </w:rPr>
        <w:t>s. n.</w:t>
      </w:r>
      <w:r w:rsidRPr="0034566F">
        <w:rPr>
          <w:rFonts w:ascii="Times New Roman" w:eastAsia="Times New Roman" w:hAnsi="Times New Roman" w:cs="Times New Roman"/>
          <w:color w:val="000000"/>
          <w:highlight w:val="white"/>
          <w:lang w:val="es-ES"/>
        </w:rPr>
        <w:t>], 1991.</w:t>
      </w:r>
    </w:p>
    <w:p w14:paraId="3725D268" w14:textId="77777777" w:rsidR="002852F7" w:rsidRPr="0034566F" w:rsidRDefault="00000000" w:rsidP="00431FEC">
      <w:pPr>
        <w:pBdr>
          <w:top w:val="nil"/>
          <w:left w:val="nil"/>
          <w:bottom w:val="nil"/>
          <w:right w:val="nil"/>
          <w:between w:val="nil"/>
        </w:pBdr>
        <w:shd w:val="clear" w:color="auto" w:fill="FFFFFF"/>
        <w:spacing w:before="200" w:after="200"/>
        <w:rPr>
          <w:rFonts w:ascii="Calibri" w:eastAsia="Calibri" w:hAnsi="Calibri" w:cs="Calibri"/>
          <w:color w:val="000000"/>
          <w:lang w:val="es-ES"/>
        </w:rPr>
      </w:pPr>
      <w:r w:rsidRPr="0034566F">
        <w:rPr>
          <w:rFonts w:ascii="Times New Roman" w:eastAsia="Times New Roman" w:hAnsi="Times New Roman" w:cs="Times New Roman"/>
          <w:color w:val="000000"/>
          <w:lang w:val="es-ES"/>
        </w:rPr>
        <w:t>COLÔMBIA.</w:t>
      </w:r>
      <w:r w:rsidRPr="0034566F">
        <w:rPr>
          <w:rFonts w:ascii="Times New Roman" w:eastAsia="Times New Roman" w:hAnsi="Times New Roman" w:cs="Times New Roman"/>
          <w:b/>
          <w:i/>
          <w:color w:val="000000"/>
          <w:lang w:val="es-ES"/>
        </w:rPr>
        <w:t xml:space="preserve"> Censo Nacional de Población y Vivienda.</w:t>
      </w:r>
      <w:r w:rsidRPr="0034566F">
        <w:rPr>
          <w:rFonts w:ascii="Times New Roman" w:eastAsia="Times New Roman" w:hAnsi="Times New Roman" w:cs="Times New Roman"/>
          <w:color w:val="000000"/>
          <w:lang w:val="es-ES"/>
        </w:rPr>
        <w:t xml:space="preserve"> </w:t>
      </w:r>
      <w:r>
        <w:rPr>
          <w:rFonts w:ascii="Times New Roman" w:eastAsia="Times New Roman" w:hAnsi="Times New Roman" w:cs="Times New Roman"/>
          <w:color w:val="000000"/>
        </w:rPr>
        <w:t xml:space="preserve">Disponível em: https://www.dane.gov.co/index.php/estadisticas-por-tema/demografia-y-poblacion/censo-nacional-de-poblacion-y-vivienda-2018. </w:t>
      </w:r>
      <w:r w:rsidRPr="0034566F">
        <w:rPr>
          <w:rFonts w:ascii="Times New Roman" w:eastAsia="Times New Roman" w:hAnsi="Times New Roman" w:cs="Times New Roman"/>
          <w:color w:val="000000"/>
          <w:lang w:val="es-ES"/>
        </w:rPr>
        <w:t>Acesso em: 17 out. 2023.</w:t>
      </w:r>
    </w:p>
    <w:p w14:paraId="4105BF3D" w14:textId="77777777" w:rsidR="002852F7" w:rsidRDefault="00000000" w:rsidP="00431FEC">
      <w:pPr>
        <w:pBdr>
          <w:top w:val="nil"/>
          <w:left w:val="nil"/>
          <w:bottom w:val="nil"/>
          <w:right w:val="nil"/>
          <w:between w:val="nil"/>
        </w:pBdr>
        <w:shd w:val="clear" w:color="auto" w:fill="FFFFFF"/>
        <w:spacing w:before="200" w:after="200"/>
        <w:rPr>
          <w:rFonts w:ascii="Calibri" w:eastAsia="Calibri" w:hAnsi="Calibri" w:cs="Calibri"/>
          <w:color w:val="000000"/>
        </w:rPr>
      </w:pPr>
      <w:r w:rsidRPr="0034566F">
        <w:rPr>
          <w:rFonts w:ascii="Times New Roman" w:eastAsia="Times New Roman" w:hAnsi="Times New Roman" w:cs="Times New Roman"/>
          <w:color w:val="000000"/>
          <w:highlight w:val="white"/>
          <w:lang w:val="es-ES"/>
        </w:rPr>
        <w:t xml:space="preserve">COLÔMBIA. </w:t>
      </w:r>
      <w:r w:rsidRPr="0034566F">
        <w:rPr>
          <w:rFonts w:ascii="Times New Roman" w:eastAsia="Times New Roman" w:hAnsi="Times New Roman" w:cs="Times New Roman"/>
          <w:b/>
          <w:color w:val="000000"/>
          <w:highlight w:val="white"/>
          <w:lang w:val="es-ES"/>
        </w:rPr>
        <w:t xml:space="preserve">Decreto 632, de 10 de abril de 2018. </w:t>
      </w:r>
      <w:r w:rsidRPr="0034566F">
        <w:rPr>
          <w:rFonts w:ascii="Times New Roman" w:eastAsia="Times New Roman" w:hAnsi="Times New Roman" w:cs="Times New Roman"/>
          <w:color w:val="000000"/>
          <w:lang w:val="es-ES"/>
        </w:rPr>
        <w:t xml:space="preserve">Por el cual se dictan las normas fiscales y demás necesarias para poner en funcionamiento los territorios indígenas ubicados en áreas no municipalizadas de los departamentos de Amazonas, Guainía y Vaupés. </w:t>
      </w:r>
      <w:r>
        <w:rPr>
          <w:rFonts w:ascii="Times New Roman" w:eastAsia="Times New Roman" w:hAnsi="Times New Roman" w:cs="Times New Roman"/>
          <w:color w:val="000000"/>
        </w:rPr>
        <w:t>Bogotá: Función Pública, 2018. Disponível em: https://www.funcionpublica.gov.co/eva/gestornormativo/norma.php?i=164152. Acesso em: 17 out. 2023. 2022.</w:t>
      </w:r>
    </w:p>
    <w:p w14:paraId="148670BD" w14:textId="77777777" w:rsidR="002852F7" w:rsidRDefault="00000000" w:rsidP="00431FEC">
      <w:pPr>
        <w:pBdr>
          <w:top w:val="nil"/>
          <w:left w:val="nil"/>
          <w:bottom w:val="nil"/>
          <w:right w:val="nil"/>
          <w:between w:val="nil"/>
        </w:pBdr>
        <w:spacing w:before="200" w:after="200"/>
        <w:rPr>
          <w:rFonts w:ascii="Calibri" w:eastAsia="Calibri" w:hAnsi="Calibri" w:cs="Calibri"/>
          <w:color w:val="000000"/>
        </w:rPr>
      </w:pPr>
      <w:r>
        <w:rPr>
          <w:rFonts w:ascii="Times New Roman" w:eastAsia="Times New Roman" w:hAnsi="Times New Roman" w:cs="Times New Roman"/>
          <w:color w:val="000000"/>
          <w:highlight w:val="white"/>
        </w:rPr>
        <w:lastRenderedPageBreak/>
        <w:t xml:space="preserve">CONSELHO NACIONAL DE JUSTIÇA. </w:t>
      </w:r>
      <w:r>
        <w:rPr>
          <w:rFonts w:ascii="Times New Roman" w:eastAsia="Times New Roman" w:hAnsi="Times New Roman" w:cs="Times New Roman"/>
          <w:b/>
          <w:color w:val="000000"/>
          <w:highlight w:val="white"/>
        </w:rPr>
        <w:t>Sessão Solene de Abertura do Ano Judiciário de 2007.</w:t>
      </w:r>
      <w:r>
        <w:rPr>
          <w:rFonts w:ascii="Times New Roman" w:eastAsia="Times New Roman" w:hAnsi="Times New Roman" w:cs="Times New Roman"/>
          <w:color w:val="000000"/>
          <w:highlight w:val="white"/>
        </w:rPr>
        <w:t xml:space="preserve"> Disponível em: https://www.cnj.jus.br/wp-content/uploads/2007/02/aberturaanojud2007.pdf. Acesso em: 17 out. 2023.</w:t>
      </w:r>
    </w:p>
    <w:p w14:paraId="049FB384" w14:textId="77777777" w:rsidR="002852F7" w:rsidRDefault="00000000" w:rsidP="00431FEC">
      <w:pPr>
        <w:pBdr>
          <w:top w:val="nil"/>
          <w:left w:val="nil"/>
          <w:bottom w:val="nil"/>
          <w:right w:val="nil"/>
          <w:between w:val="nil"/>
        </w:pBdr>
        <w:shd w:val="clear" w:color="auto" w:fill="FFFFFF"/>
        <w:spacing w:before="200" w:after="200"/>
        <w:rPr>
          <w:rFonts w:ascii="Calibri" w:eastAsia="Calibri" w:hAnsi="Calibri" w:cs="Calibri"/>
          <w:color w:val="000000"/>
        </w:rPr>
      </w:pPr>
      <w:r w:rsidRPr="0034566F">
        <w:rPr>
          <w:rFonts w:ascii="Times New Roman" w:eastAsia="Times New Roman" w:hAnsi="Times New Roman" w:cs="Times New Roman"/>
          <w:color w:val="000000"/>
          <w:lang w:val="es-ES"/>
        </w:rPr>
        <w:t xml:space="preserve">COSOY, Natalio. Quién era Manuel Quintín Lame, el colombiano que inspiró la primera guerrilla indígena de América Latina. </w:t>
      </w:r>
      <w:r>
        <w:rPr>
          <w:rFonts w:ascii="Times New Roman" w:eastAsia="Times New Roman" w:hAnsi="Times New Roman" w:cs="Times New Roman"/>
          <w:b/>
          <w:color w:val="000000"/>
        </w:rPr>
        <w:t xml:space="preserve">BBC News. </w:t>
      </w:r>
      <w:r>
        <w:rPr>
          <w:rFonts w:ascii="Times New Roman" w:eastAsia="Times New Roman" w:hAnsi="Times New Roman" w:cs="Times New Roman"/>
          <w:color w:val="000000"/>
        </w:rPr>
        <w:t>6 out. 2017. Disponível em: https://www.bbc.com/mundo/noticias-america-latina-41507530. Acesso em: 17 out. 2023.</w:t>
      </w:r>
    </w:p>
    <w:p w14:paraId="7DB692E9" w14:textId="77777777" w:rsidR="002852F7" w:rsidRDefault="00000000" w:rsidP="00431FEC">
      <w:pPr>
        <w:pBdr>
          <w:top w:val="nil"/>
          <w:left w:val="nil"/>
          <w:bottom w:val="nil"/>
          <w:right w:val="nil"/>
          <w:between w:val="nil"/>
        </w:pBdr>
        <w:shd w:val="clear" w:color="auto" w:fill="FFFFFF"/>
        <w:spacing w:before="200" w:after="200"/>
        <w:rPr>
          <w:rFonts w:ascii="Calibri" w:eastAsia="Calibri" w:hAnsi="Calibri" w:cs="Calibri"/>
          <w:color w:val="000000"/>
        </w:rPr>
      </w:pPr>
      <w:r>
        <w:rPr>
          <w:rFonts w:ascii="Times New Roman" w:eastAsia="Times New Roman" w:hAnsi="Times New Roman" w:cs="Times New Roman"/>
          <w:color w:val="000000"/>
        </w:rPr>
        <w:t xml:space="preserve">GARZÓN, Biviany Rojas. Governo da Colômbia reconhece Territórios Indígenas como unidades equivalentes a municípios. </w:t>
      </w:r>
      <w:r>
        <w:rPr>
          <w:rFonts w:ascii="Times New Roman" w:eastAsia="Times New Roman" w:hAnsi="Times New Roman" w:cs="Times New Roman"/>
          <w:b/>
          <w:color w:val="000000"/>
        </w:rPr>
        <w:t xml:space="preserve">Instituto Socioambiental. </w:t>
      </w:r>
      <w:r>
        <w:rPr>
          <w:rFonts w:ascii="Times New Roman" w:eastAsia="Times New Roman" w:hAnsi="Times New Roman" w:cs="Times New Roman"/>
          <w:color w:val="000000"/>
        </w:rPr>
        <w:t>18 abr. 2018. Disponível em: https://site-antigo.socioambiental.org/pt-br/blog/blog-do-xingu/governo-da-colombia-reconhece-territorios-indigenas-como-unidades-equivalentes-a-municipios. Acesso em: 17 out. 2023.</w:t>
      </w:r>
    </w:p>
    <w:p w14:paraId="602EEB2E" w14:textId="77777777" w:rsidR="002852F7" w:rsidRDefault="00000000" w:rsidP="00431FEC">
      <w:pPr>
        <w:pBdr>
          <w:top w:val="nil"/>
          <w:left w:val="nil"/>
          <w:bottom w:val="nil"/>
          <w:right w:val="nil"/>
          <w:between w:val="nil"/>
        </w:pBdr>
        <w:spacing w:before="200" w:after="200"/>
        <w:rPr>
          <w:rFonts w:ascii="Calibri" w:eastAsia="Calibri" w:hAnsi="Calibri" w:cs="Calibri"/>
          <w:color w:val="000000"/>
        </w:rPr>
      </w:pPr>
      <w:r>
        <w:rPr>
          <w:rFonts w:ascii="Times New Roman" w:eastAsia="Times New Roman" w:hAnsi="Times New Roman" w:cs="Times New Roman"/>
          <w:color w:val="000000"/>
          <w:highlight w:val="white"/>
        </w:rPr>
        <w:t>GARZÓN, Biviany Rojas. </w:t>
      </w:r>
      <w:r>
        <w:rPr>
          <w:rFonts w:ascii="Times New Roman" w:eastAsia="Times New Roman" w:hAnsi="Times New Roman" w:cs="Times New Roman"/>
          <w:b/>
          <w:color w:val="000000"/>
          <w:highlight w:val="white"/>
        </w:rPr>
        <w:t>Os Direitos Constitucionais dos Povos Indígenas no Judiciário</w:t>
      </w:r>
      <w:r>
        <w:rPr>
          <w:rFonts w:ascii="Times New Roman" w:eastAsia="Times New Roman" w:hAnsi="Times New Roman" w:cs="Times New Roman"/>
          <w:color w:val="000000"/>
          <w:highlight w:val="white"/>
        </w:rPr>
        <w:t>: Entre o direito falado e o direito escrito. Uma perspectiv comparada do Brasil e da Colômbia. Orientador: Cristhian Teófilo da Silva. 2008. Dissertação de Mestrado (Mestrado em Ciências Sociais) - Universidade de Brasília, Brasília, DF, 2008.</w:t>
      </w:r>
    </w:p>
    <w:p w14:paraId="03012B57" w14:textId="77777777" w:rsidR="002852F7" w:rsidRDefault="00000000" w:rsidP="00431FEC">
      <w:pPr>
        <w:pBdr>
          <w:top w:val="nil"/>
          <w:left w:val="nil"/>
          <w:bottom w:val="nil"/>
          <w:right w:val="nil"/>
          <w:between w:val="nil"/>
        </w:pBdr>
        <w:spacing w:before="200" w:after="200"/>
        <w:rPr>
          <w:rFonts w:ascii="Calibri" w:eastAsia="Calibri" w:hAnsi="Calibri" w:cs="Calibri"/>
          <w:color w:val="000000"/>
        </w:rPr>
      </w:pPr>
      <w:r>
        <w:rPr>
          <w:rFonts w:ascii="Times New Roman" w:eastAsia="Times New Roman" w:hAnsi="Times New Roman" w:cs="Times New Roman"/>
          <w:color w:val="000000"/>
          <w:highlight w:val="white"/>
        </w:rPr>
        <w:t xml:space="preserve">GAVIRIA, Simón. Indígenas pendientes. </w:t>
      </w:r>
      <w:r>
        <w:rPr>
          <w:rFonts w:ascii="Times New Roman" w:eastAsia="Times New Roman" w:hAnsi="Times New Roman" w:cs="Times New Roman"/>
          <w:b/>
          <w:color w:val="000000"/>
          <w:highlight w:val="white"/>
        </w:rPr>
        <w:t>El Universal</w:t>
      </w:r>
      <w:r>
        <w:rPr>
          <w:rFonts w:ascii="Times New Roman" w:eastAsia="Times New Roman" w:hAnsi="Times New Roman" w:cs="Times New Roman"/>
          <w:color w:val="000000"/>
          <w:highlight w:val="white"/>
        </w:rPr>
        <w:t>, Cartagena, 30 mar. 2022. Disponível em: https://www.eluniversal.com.co/opinion/columna/indigenas-pendientes-DY6346476. Acesso em: 29, nov. 2022.</w:t>
      </w:r>
    </w:p>
    <w:p w14:paraId="5EE86419" w14:textId="77777777" w:rsidR="002852F7" w:rsidRDefault="00000000" w:rsidP="00431FEC">
      <w:pPr>
        <w:pBdr>
          <w:top w:val="nil"/>
          <w:left w:val="nil"/>
          <w:bottom w:val="nil"/>
          <w:right w:val="nil"/>
          <w:between w:val="nil"/>
        </w:pBdr>
        <w:shd w:val="clear" w:color="auto" w:fill="FFFFFF"/>
        <w:spacing w:before="200" w:after="200"/>
        <w:rPr>
          <w:rFonts w:ascii="Calibri" w:eastAsia="Calibri" w:hAnsi="Calibri" w:cs="Calibri"/>
          <w:color w:val="000000"/>
        </w:rPr>
      </w:pPr>
      <w:r>
        <w:rPr>
          <w:rFonts w:ascii="Times New Roman" w:eastAsia="Times New Roman" w:hAnsi="Times New Roman" w:cs="Times New Roman"/>
          <w:color w:val="000000"/>
        </w:rPr>
        <w:t xml:space="preserve">IBGE. </w:t>
      </w:r>
      <w:r>
        <w:rPr>
          <w:rFonts w:ascii="Times New Roman" w:eastAsia="Times New Roman" w:hAnsi="Times New Roman" w:cs="Times New Roman"/>
          <w:b/>
          <w:color w:val="000000"/>
        </w:rPr>
        <w:t xml:space="preserve">Território brasileiro e povoamento. História indígena. Os números da população indígena. </w:t>
      </w:r>
      <w:r>
        <w:rPr>
          <w:rFonts w:ascii="Times New Roman" w:eastAsia="Times New Roman" w:hAnsi="Times New Roman" w:cs="Times New Roman"/>
          <w:color w:val="000000"/>
        </w:rPr>
        <w:t>Disponível em: https://brasil500anos.ibge.gov.br/territorio-brasileiro-e-povoamento/historia-indigena/os-numeros-da-populacao-indigena.html. Acesso em: 17 out. 2023.</w:t>
      </w:r>
    </w:p>
    <w:p w14:paraId="1454F578" w14:textId="77777777" w:rsidR="002852F7" w:rsidRDefault="00000000" w:rsidP="00431FEC">
      <w:pPr>
        <w:pBdr>
          <w:top w:val="nil"/>
          <w:left w:val="nil"/>
          <w:bottom w:val="nil"/>
          <w:right w:val="nil"/>
          <w:between w:val="nil"/>
        </w:pBdr>
        <w:spacing w:before="200" w:after="200"/>
        <w:rPr>
          <w:rFonts w:ascii="Calibri" w:eastAsia="Calibri" w:hAnsi="Calibri" w:cs="Calibri"/>
          <w:color w:val="000000"/>
        </w:rPr>
      </w:pPr>
      <w:r>
        <w:rPr>
          <w:rFonts w:ascii="Times New Roman" w:eastAsia="Times New Roman" w:hAnsi="Times New Roman" w:cs="Times New Roman"/>
          <w:color w:val="000000"/>
          <w:highlight w:val="white"/>
        </w:rPr>
        <w:t>LOPES, Ana Maria D'Ávila; MATTOS, Karine Rodrigues. O Direito fundamental dos indígenas à terra: do Brasil-Colônia ao Estado Democrático de Direito. </w:t>
      </w:r>
      <w:r>
        <w:rPr>
          <w:rFonts w:ascii="Times New Roman" w:eastAsia="Times New Roman" w:hAnsi="Times New Roman" w:cs="Times New Roman"/>
          <w:b/>
          <w:color w:val="000000"/>
          <w:highlight w:val="white"/>
        </w:rPr>
        <w:t>Revista de informação legislativa</w:t>
      </w:r>
      <w:r>
        <w:rPr>
          <w:rFonts w:ascii="Times New Roman" w:eastAsia="Times New Roman" w:hAnsi="Times New Roman" w:cs="Times New Roman"/>
          <w:color w:val="000000"/>
          <w:highlight w:val="white"/>
        </w:rPr>
        <w:t>, Brasília, v. 43, n. 170, 2006.</w:t>
      </w:r>
    </w:p>
    <w:p w14:paraId="1A59B3AB" w14:textId="77777777" w:rsidR="002852F7" w:rsidRPr="0034566F" w:rsidRDefault="00000000" w:rsidP="00431FEC">
      <w:pPr>
        <w:pBdr>
          <w:top w:val="nil"/>
          <w:left w:val="nil"/>
          <w:bottom w:val="nil"/>
          <w:right w:val="nil"/>
          <w:between w:val="nil"/>
        </w:pBdr>
        <w:shd w:val="clear" w:color="auto" w:fill="FFFFFF"/>
        <w:spacing w:before="200" w:after="200"/>
        <w:rPr>
          <w:rFonts w:ascii="Calibri" w:eastAsia="Calibri" w:hAnsi="Calibri" w:cs="Calibri"/>
          <w:color w:val="000000"/>
          <w:lang w:val="es-ES"/>
        </w:rPr>
      </w:pPr>
      <w:r>
        <w:rPr>
          <w:rFonts w:ascii="Times New Roman" w:eastAsia="Times New Roman" w:hAnsi="Times New Roman" w:cs="Times New Roman"/>
          <w:color w:val="000000"/>
        </w:rPr>
        <w:t xml:space="preserve">MASSULO, Débora Silva; NOGUEIRA, Caroline Barbosa Contente. A TEORIA DO INDIGENATO VS TEORIA DO FATO INDÍGENA (MARCO TEMPORAL): BREVE ANÁLISE DESDE A PERSPECTIVA DO COLONIALISMO INTERNO. </w:t>
      </w:r>
      <w:r>
        <w:rPr>
          <w:rFonts w:ascii="Times New Roman" w:eastAsia="Times New Roman" w:hAnsi="Times New Roman" w:cs="Times New Roman"/>
          <w:b/>
          <w:color w:val="000000"/>
        </w:rPr>
        <w:t>Empório do Direito: Coluna Empório Descolonial.</w:t>
      </w:r>
      <w:r>
        <w:rPr>
          <w:rFonts w:ascii="Times New Roman" w:eastAsia="Times New Roman" w:hAnsi="Times New Roman" w:cs="Times New Roman"/>
          <w:color w:val="000000"/>
        </w:rPr>
        <w:t xml:space="preserve"> 15 abr. 2019. Disponível em: https://emporiododireito.com.br/leitura/a-teoria-do-indigenato-vs-teoria-do-fato-indigena-marco-temporal-breve-analisa-desde-a-perspectiva-do-colonialismo-interno. </w:t>
      </w:r>
      <w:r w:rsidRPr="0034566F">
        <w:rPr>
          <w:rFonts w:ascii="Times New Roman" w:eastAsia="Times New Roman" w:hAnsi="Times New Roman" w:cs="Times New Roman"/>
          <w:color w:val="000000"/>
          <w:lang w:val="es-ES"/>
        </w:rPr>
        <w:t>Acesso em: 17 out. 2023.</w:t>
      </w:r>
    </w:p>
    <w:p w14:paraId="7E4E6E00" w14:textId="77777777" w:rsidR="002852F7" w:rsidRDefault="00000000" w:rsidP="00431FEC">
      <w:pPr>
        <w:pBdr>
          <w:top w:val="nil"/>
          <w:left w:val="nil"/>
          <w:bottom w:val="nil"/>
          <w:right w:val="nil"/>
          <w:between w:val="nil"/>
        </w:pBdr>
        <w:shd w:val="clear" w:color="auto" w:fill="FFFFFF"/>
        <w:spacing w:before="200" w:after="200"/>
        <w:rPr>
          <w:rFonts w:ascii="Calibri" w:eastAsia="Calibri" w:hAnsi="Calibri" w:cs="Calibri"/>
          <w:color w:val="000000"/>
        </w:rPr>
      </w:pPr>
      <w:r w:rsidRPr="0034566F">
        <w:rPr>
          <w:rFonts w:ascii="Times New Roman" w:eastAsia="Times New Roman" w:hAnsi="Times New Roman" w:cs="Times New Roman"/>
          <w:color w:val="000000"/>
          <w:lang w:val="es-ES"/>
        </w:rPr>
        <w:t xml:space="preserve">MEJÍA, Javier. La Población del Territorio Colombiano al Mmomento de la Conquista: Una Revisión Crítica de Estudios. </w:t>
      </w:r>
      <w:r w:rsidRPr="0034566F">
        <w:rPr>
          <w:rFonts w:ascii="Times New Roman" w:eastAsia="Times New Roman" w:hAnsi="Times New Roman" w:cs="Times New Roman"/>
          <w:b/>
          <w:color w:val="000000"/>
          <w:lang w:val="es-ES"/>
        </w:rPr>
        <w:t>Economía &amp; Región</w:t>
      </w:r>
      <w:r w:rsidRPr="0034566F">
        <w:rPr>
          <w:rFonts w:ascii="Times New Roman" w:eastAsia="Times New Roman" w:hAnsi="Times New Roman" w:cs="Times New Roman"/>
          <w:color w:val="000000"/>
          <w:lang w:val="es-ES"/>
        </w:rPr>
        <w:t>, Vol. 9, N°. 2, (Cartagena, diciembre 2015), pp. 7-46.</w:t>
      </w:r>
      <w:r w:rsidRPr="0034566F">
        <w:rPr>
          <w:rFonts w:ascii="Times New Roman" w:eastAsia="Times New Roman" w:hAnsi="Times New Roman" w:cs="Times New Roman"/>
          <w:b/>
          <w:color w:val="000000"/>
          <w:lang w:val="es-ES"/>
        </w:rPr>
        <w:t xml:space="preserve"> </w:t>
      </w:r>
      <w:r w:rsidRPr="0034566F">
        <w:rPr>
          <w:rFonts w:ascii="Times New Roman" w:eastAsia="Times New Roman" w:hAnsi="Times New Roman" w:cs="Times New Roman"/>
          <w:color w:val="000000"/>
          <w:lang w:val="es-ES"/>
        </w:rPr>
        <w:t xml:space="preserve">Disponível em: https://www.researchgate.net/publication/293531012_La_Poblacion_del_Terrritorio_Colombiano_al_Momento_de_la_Conquisa_Una_Revision_Critica_de_Estudios. </w:t>
      </w:r>
      <w:r>
        <w:rPr>
          <w:rFonts w:ascii="Times New Roman" w:eastAsia="Times New Roman" w:hAnsi="Times New Roman" w:cs="Times New Roman"/>
          <w:color w:val="000000"/>
        </w:rPr>
        <w:t>Acesso em 17 out. 2023.</w:t>
      </w:r>
    </w:p>
    <w:p w14:paraId="21DEEFC3" w14:textId="77777777" w:rsidR="002852F7" w:rsidRDefault="00000000" w:rsidP="00431FEC">
      <w:pPr>
        <w:pBdr>
          <w:top w:val="nil"/>
          <w:left w:val="nil"/>
          <w:bottom w:val="nil"/>
          <w:right w:val="nil"/>
          <w:between w:val="nil"/>
        </w:pBdr>
        <w:shd w:val="clear" w:color="auto" w:fill="FFFFFF"/>
        <w:spacing w:before="200" w:after="200"/>
        <w:rPr>
          <w:rFonts w:ascii="Calibri" w:eastAsia="Calibri" w:hAnsi="Calibri" w:cs="Calibri"/>
          <w:color w:val="000000"/>
        </w:rPr>
      </w:pPr>
      <w:r>
        <w:rPr>
          <w:rFonts w:ascii="Times New Roman" w:eastAsia="Times New Roman" w:hAnsi="Times New Roman" w:cs="Times New Roman"/>
          <w:color w:val="000000"/>
        </w:rPr>
        <w:lastRenderedPageBreak/>
        <w:t xml:space="preserve">MINISTÉRIO DOS POVOS INDÍGENAS. </w:t>
      </w:r>
      <w:r>
        <w:rPr>
          <w:rFonts w:ascii="Times New Roman" w:eastAsia="Times New Roman" w:hAnsi="Times New Roman" w:cs="Times New Roman"/>
          <w:b/>
          <w:color w:val="000000"/>
        </w:rPr>
        <w:t xml:space="preserve">Quem são. </w:t>
      </w:r>
      <w:r>
        <w:rPr>
          <w:rFonts w:ascii="Times New Roman" w:eastAsia="Times New Roman" w:hAnsi="Times New Roman" w:cs="Times New Roman"/>
          <w:color w:val="000000"/>
        </w:rPr>
        <w:t>Disponível em: https://www.gov.br/funai/pt-br/atuacao/povos-indigenas/quem-sao. Acesso em: 17 out. 2023.</w:t>
      </w:r>
    </w:p>
    <w:p w14:paraId="00A0C5C3" w14:textId="77777777" w:rsidR="002852F7" w:rsidRDefault="00000000" w:rsidP="00431FEC">
      <w:pPr>
        <w:pBdr>
          <w:top w:val="nil"/>
          <w:left w:val="nil"/>
          <w:bottom w:val="nil"/>
          <w:right w:val="nil"/>
          <w:between w:val="nil"/>
        </w:pBdr>
        <w:spacing w:before="200" w:after="200"/>
        <w:rPr>
          <w:rFonts w:ascii="Calibri" w:eastAsia="Calibri" w:hAnsi="Calibri" w:cs="Calibri"/>
          <w:color w:val="000000"/>
        </w:rPr>
      </w:pPr>
      <w:r>
        <w:rPr>
          <w:rFonts w:ascii="Times New Roman" w:eastAsia="Times New Roman" w:hAnsi="Times New Roman" w:cs="Times New Roman"/>
          <w:color w:val="000000"/>
          <w:highlight w:val="white"/>
        </w:rPr>
        <w:t>OIT. </w:t>
      </w:r>
      <w:r>
        <w:rPr>
          <w:rFonts w:ascii="Times New Roman" w:eastAsia="Times New Roman" w:hAnsi="Times New Roman" w:cs="Times New Roman"/>
          <w:b/>
          <w:highlight w:val="white"/>
        </w:rPr>
        <w:t>Convenção</w:t>
      </w:r>
      <w:r>
        <w:rPr>
          <w:rFonts w:ascii="Times New Roman" w:eastAsia="Times New Roman" w:hAnsi="Times New Roman" w:cs="Times New Roman"/>
          <w:b/>
          <w:color w:val="000000"/>
          <w:highlight w:val="white"/>
        </w:rPr>
        <w:t xml:space="preserve"> nº 169, de 7 de junho de 1989</w:t>
      </w:r>
      <w:r>
        <w:rPr>
          <w:rFonts w:ascii="Times New Roman" w:eastAsia="Times New Roman" w:hAnsi="Times New Roman" w:cs="Times New Roman"/>
          <w:color w:val="000000"/>
          <w:highlight w:val="white"/>
        </w:rPr>
        <w:t>. Sobre Povos Indígenas e Tribais. [</w:t>
      </w:r>
      <w:r>
        <w:rPr>
          <w:rFonts w:ascii="Times New Roman" w:eastAsia="Times New Roman" w:hAnsi="Times New Roman" w:cs="Times New Roman"/>
          <w:i/>
          <w:color w:val="000000"/>
          <w:highlight w:val="white"/>
        </w:rPr>
        <w:t>S. l.</w:t>
      </w:r>
      <w:r>
        <w:rPr>
          <w:rFonts w:ascii="Times New Roman" w:eastAsia="Times New Roman" w:hAnsi="Times New Roman" w:cs="Times New Roman"/>
          <w:color w:val="000000"/>
          <w:highlight w:val="white"/>
        </w:rPr>
        <w:t>], 1989.</w:t>
      </w:r>
    </w:p>
    <w:p w14:paraId="32CF8CFA" w14:textId="77777777" w:rsidR="002852F7" w:rsidRDefault="00000000" w:rsidP="00431FEC">
      <w:pPr>
        <w:pBdr>
          <w:top w:val="nil"/>
          <w:left w:val="nil"/>
          <w:bottom w:val="nil"/>
          <w:right w:val="nil"/>
          <w:between w:val="nil"/>
        </w:pBdr>
        <w:spacing w:before="200" w:after="200"/>
        <w:rPr>
          <w:rFonts w:ascii="Calibri" w:eastAsia="Calibri" w:hAnsi="Calibri" w:cs="Calibri"/>
          <w:color w:val="000000"/>
        </w:rPr>
      </w:pPr>
      <w:r>
        <w:rPr>
          <w:rFonts w:ascii="Times New Roman" w:eastAsia="Times New Roman" w:hAnsi="Times New Roman" w:cs="Times New Roman"/>
          <w:color w:val="000000"/>
          <w:highlight w:val="white"/>
        </w:rPr>
        <w:t>ONU; CEPAL (org.). </w:t>
      </w:r>
      <w:r>
        <w:rPr>
          <w:rFonts w:ascii="Times New Roman" w:eastAsia="Times New Roman" w:hAnsi="Times New Roman" w:cs="Times New Roman"/>
          <w:b/>
          <w:color w:val="000000"/>
          <w:highlight w:val="white"/>
        </w:rPr>
        <w:t>Os Povos Indígenas na América Latina</w:t>
      </w:r>
      <w:r>
        <w:rPr>
          <w:rFonts w:ascii="Times New Roman" w:eastAsia="Times New Roman" w:hAnsi="Times New Roman" w:cs="Times New Roman"/>
          <w:color w:val="000000"/>
          <w:highlight w:val="white"/>
        </w:rPr>
        <w:t>: Avanços na última década e desafios pendentes para a garantia de seus direitos. Santiago, Chile: ONU/CEPAL, 2015. v. 1.</w:t>
      </w:r>
    </w:p>
    <w:p w14:paraId="5F602311" w14:textId="77777777" w:rsidR="002852F7" w:rsidRPr="0034566F" w:rsidRDefault="00000000" w:rsidP="00431FEC">
      <w:pPr>
        <w:pBdr>
          <w:top w:val="nil"/>
          <w:left w:val="nil"/>
          <w:bottom w:val="nil"/>
          <w:right w:val="nil"/>
          <w:between w:val="nil"/>
        </w:pBdr>
        <w:spacing w:before="200" w:after="200"/>
        <w:rPr>
          <w:rFonts w:ascii="Calibri" w:eastAsia="Calibri" w:hAnsi="Calibri" w:cs="Calibri"/>
          <w:color w:val="000000"/>
          <w:lang w:val="es-ES"/>
        </w:rPr>
      </w:pPr>
      <w:r>
        <w:rPr>
          <w:rFonts w:ascii="Times New Roman" w:eastAsia="Times New Roman" w:hAnsi="Times New Roman" w:cs="Times New Roman"/>
          <w:highlight w:val="white"/>
        </w:rPr>
        <w:t>ROLIM</w:t>
      </w:r>
      <w:r>
        <w:rPr>
          <w:rFonts w:ascii="Times New Roman" w:eastAsia="Times New Roman" w:hAnsi="Times New Roman" w:cs="Times New Roman"/>
          <w:color w:val="000000"/>
          <w:highlight w:val="white"/>
        </w:rPr>
        <w:t xml:space="preserve">, A. A. da S., </w:t>
      </w:r>
      <w:r>
        <w:rPr>
          <w:rFonts w:ascii="Times New Roman" w:eastAsia="Times New Roman" w:hAnsi="Times New Roman" w:cs="Times New Roman"/>
          <w:highlight w:val="white"/>
        </w:rPr>
        <w:t>AZEVEDO</w:t>
      </w:r>
      <w:r>
        <w:rPr>
          <w:rFonts w:ascii="Times New Roman" w:eastAsia="Times New Roman" w:hAnsi="Times New Roman" w:cs="Times New Roman"/>
          <w:color w:val="000000"/>
          <w:highlight w:val="white"/>
        </w:rPr>
        <w:t xml:space="preserve">, P. H. B. de, </w:t>
      </w:r>
      <w:r>
        <w:rPr>
          <w:rFonts w:ascii="Times New Roman" w:eastAsia="Times New Roman" w:hAnsi="Times New Roman" w:cs="Times New Roman"/>
          <w:highlight w:val="white"/>
        </w:rPr>
        <w:t>FREITAS</w:t>
      </w:r>
      <w:r>
        <w:rPr>
          <w:rFonts w:ascii="Times New Roman" w:eastAsia="Times New Roman" w:hAnsi="Times New Roman" w:cs="Times New Roman"/>
          <w:color w:val="000000"/>
          <w:highlight w:val="white"/>
        </w:rPr>
        <w:t xml:space="preserve">, F. A. de, &amp; </w:t>
      </w:r>
      <w:r>
        <w:rPr>
          <w:rFonts w:ascii="Times New Roman" w:eastAsia="Times New Roman" w:hAnsi="Times New Roman" w:cs="Times New Roman"/>
          <w:highlight w:val="white"/>
        </w:rPr>
        <w:t>PONTES FILHO</w:t>
      </w:r>
      <w:r>
        <w:rPr>
          <w:rFonts w:ascii="Times New Roman" w:eastAsia="Times New Roman" w:hAnsi="Times New Roman" w:cs="Times New Roman"/>
          <w:color w:val="000000"/>
          <w:highlight w:val="white"/>
        </w:rPr>
        <w:t xml:space="preserve">, R. P. (2024). RESSONÂNCIAS DO TEMPO: REFLEXÕES E ANÁLISES DOS VOTOS DO STF NO R.E. 1017365 E A TRAMITAÇÃO DA LEI Nº 14.701/2023. </w:t>
      </w:r>
      <w:r>
        <w:rPr>
          <w:rFonts w:ascii="Times New Roman" w:eastAsia="Times New Roman" w:hAnsi="Times New Roman" w:cs="Times New Roman"/>
          <w:b/>
          <w:i/>
          <w:color w:val="000000"/>
          <w:highlight w:val="white"/>
        </w:rPr>
        <w:t>Revista De Direito &amp; Desenvolvimento Da UniCatólica</w:t>
      </w:r>
      <w:r>
        <w:rPr>
          <w:rFonts w:ascii="Times New Roman" w:eastAsia="Times New Roman" w:hAnsi="Times New Roman" w:cs="Times New Roman"/>
          <w:b/>
          <w:color w:val="000000"/>
          <w:highlight w:val="white"/>
        </w:rPr>
        <w:t>,</w:t>
      </w:r>
      <w:r>
        <w:rPr>
          <w:rFonts w:ascii="Times New Roman" w:eastAsia="Times New Roman" w:hAnsi="Times New Roman" w:cs="Times New Roman"/>
          <w:color w:val="000000"/>
          <w:highlight w:val="white"/>
        </w:rPr>
        <w:t xml:space="preserve"> </w:t>
      </w:r>
      <w:r>
        <w:rPr>
          <w:rFonts w:ascii="Times New Roman" w:eastAsia="Times New Roman" w:hAnsi="Times New Roman" w:cs="Times New Roman"/>
          <w:i/>
          <w:color w:val="000000"/>
          <w:highlight w:val="white"/>
        </w:rPr>
        <w:t>7</w:t>
      </w:r>
      <w:r>
        <w:rPr>
          <w:rFonts w:ascii="Times New Roman" w:eastAsia="Times New Roman" w:hAnsi="Times New Roman" w:cs="Times New Roman"/>
          <w:color w:val="000000"/>
          <w:highlight w:val="white"/>
        </w:rPr>
        <w:t xml:space="preserve">(1), 49–60. </w:t>
      </w:r>
      <w:r>
        <w:rPr>
          <w:rFonts w:ascii="Times New Roman" w:eastAsia="Times New Roman" w:hAnsi="Times New Roman" w:cs="Times New Roman"/>
          <w:highlight w:val="white"/>
        </w:rPr>
        <w:t xml:space="preserve">Disponível em: http://publicacoes.unicatolicaquixada.edu.br/index.php/rdd/article/view/1113. </w:t>
      </w:r>
      <w:r w:rsidRPr="0034566F">
        <w:rPr>
          <w:rFonts w:ascii="Times New Roman" w:eastAsia="Times New Roman" w:hAnsi="Times New Roman" w:cs="Times New Roman"/>
          <w:lang w:val="es-ES"/>
        </w:rPr>
        <w:t>Acesso em: 17 out. 2023.</w:t>
      </w:r>
    </w:p>
    <w:p w14:paraId="062E3D20" w14:textId="77777777" w:rsidR="002852F7" w:rsidRDefault="00000000" w:rsidP="00431FEC">
      <w:pPr>
        <w:pBdr>
          <w:top w:val="nil"/>
          <w:left w:val="nil"/>
          <w:bottom w:val="nil"/>
          <w:right w:val="nil"/>
          <w:between w:val="nil"/>
        </w:pBdr>
        <w:spacing w:before="200" w:after="200"/>
        <w:rPr>
          <w:rFonts w:ascii="Calibri" w:eastAsia="Calibri" w:hAnsi="Calibri" w:cs="Calibri"/>
          <w:color w:val="000000"/>
        </w:rPr>
      </w:pPr>
      <w:r w:rsidRPr="0034566F">
        <w:rPr>
          <w:rFonts w:ascii="Times New Roman" w:eastAsia="Times New Roman" w:hAnsi="Times New Roman" w:cs="Times New Roman"/>
          <w:color w:val="000000"/>
          <w:highlight w:val="white"/>
          <w:lang w:val="es-ES"/>
        </w:rPr>
        <w:t>SEMPER, Frank. Los derechos de los pueblos indígenas de Colombia en la jurisprudencia de la Corte Constitucional. </w:t>
      </w:r>
      <w:r>
        <w:rPr>
          <w:rFonts w:ascii="Times New Roman" w:eastAsia="Times New Roman" w:hAnsi="Times New Roman" w:cs="Times New Roman"/>
          <w:b/>
          <w:color w:val="000000"/>
          <w:highlight w:val="white"/>
        </w:rPr>
        <w:t>Anuario de Derecho Constitucional Latinoamericano 2006</w:t>
      </w:r>
      <w:r>
        <w:rPr>
          <w:rFonts w:ascii="Times New Roman" w:eastAsia="Times New Roman" w:hAnsi="Times New Roman" w:cs="Times New Roman"/>
          <w:color w:val="000000"/>
          <w:highlight w:val="white"/>
        </w:rPr>
        <w:t xml:space="preserve">, </w:t>
      </w:r>
      <w:r>
        <w:rPr>
          <w:rFonts w:ascii="Times New Roman" w:eastAsia="Times New Roman" w:hAnsi="Times New Roman" w:cs="Times New Roman"/>
          <w:highlight w:val="white"/>
        </w:rPr>
        <w:t>U</w:t>
      </w:r>
      <w:r>
        <w:rPr>
          <w:rFonts w:ascii="Times New Roman" w:eastAsia="Times New Roman" w:hAnsi="Times New Roman" w:cs="Times New Roman"/>
          <w:color w:val="000000"/>
          <w:highlight w:val="white"/>
        </w:rPr>
        <w:t>ruguai, v. 2, 2006.</w:t>
      </w:r>
    </w:p>
    <w:p w14:paraId="36EBACAC" w14:textId="77777777" w:rsidR="002852F7" w:rsidRDefault="00000000" w:rsidP="00431FEC">
      <w:pPr>
        <w:pBdr>
          <w:top w:val="nil"/>
          <w:left w:val="nil"/>
          <w:bottom w:val="nil"/>
          <w:right w:val="nil"/>
          <w:between w:val="nil"/>
        </w:pBdr>
        <w:shd w:val="clear" w:color="auto" w:fill="FFFFFF"/>
        <w:spacing w:before="200" w:after="200"/>
        <w:rPr>
          <w:rFonts w:ascii="Calibri" w:eastAsia="Calibri" w:hAnsi="Calibri" w:cs="Calibri"/>
          <w:color w:val="000000"/>
        </w:rPr>
      </w:pPr>
      <w:r>
        <w:rPr>
          <w:rFonts w:ascii="Times New Roman" w:eastAsia="Times New Roman" w:hAnsi="Times New Roman" w:cs="Times New Roman"/>
          <w:color w:val="000000"/>
        </w:rPr>
        <w:t xml:space="preserve">TERENA, Eloy. </w:t>
      </w:r>
      <w:r>
        <w:rPr>
          <w:rFonts w:ascii="Times New Roman" w:eastAsia="Times New Roman" w:hAnsi="Times New Roman" w:cs="Times New Roman"/>
          <w:b/>
          <w:color w:val="000000"/>
        </w:rPr>
        <w:t>Na pauta do Supremo, as terras indígenas:</w:t>
      </w:r>
      <w:r>
        <w:rPr>
          <w:rFonts w:ascii="Times New Roman" w:eastAsia="Times New Roman" w:hAnsi="Times New Roman" w:cs="Times New Roman"/>
          <w:color w:val="000000"/>
        </w:rPr>
        <w:t xml:space="preserve"> precisamos nos mobilizar para a defesa da vida dos povos indígenas. CIMI, 13 mai. 2022. Disponível em: https://cimi.org.br/2022/05/na-pauta-do-supremo-as-terras-indigenas-precisamos-nos-mobilizar-para-a-defesa-da-vida-dos-povos-indigenas/. Acesso em: 17 out. 2023. </w:t>
      </w:r>
    </w:p>
    <w:p w14:paraId="0A4C173B" w14:textId="77777777" w:rsidR="002852F7" w:rsidRDefault="00000000" w:rsidP="00431FEC">
      <w:pPr>
        <w:pBdr>
          <w:top w:val="nil"/>
          <w:left w:val="nil"/>
          <w:bottom w:val="nil"/>
          <w:right w:val="nil"/>
          <w:between w:val="nil"/>
        </w:pBdr>
        <w:spacing w:before="200" w:after="240"/>
        <w:rPr>
          <w:rFonts w:ascii="Times New Roman" w:eastAsia="Times New Roman" w:hAnsi="Times New Roman" w:cs="Times New Roman"/>
          <w:color w:val="000000"/>
        </w:rPr>
      </w:pPr>
      <w:r>
        <w:rPr>
          <w:rFonts w:ascii="Times New Roman" w:eastAsia="Times New Roman" w:hAnsi="Times New Roman" w:cs="Times New Roman"/>
          <w:color w:val="000000"/>
        </w:rPr>
        <w:t xml:space="preserve">TERRAS INDÍGENAS NO BRASIL. </w:t>
      </w:r>
      <w:r>
        <w:rPr>
          <w:rFonts w:ascii="Times New Roman" w:eastAsia="Times New Roman" w:hAnsi="Times New Roman" w:cs="Times New Roman"/>
          <w:b/>
          <w:color w:val="000000"/>
        </w:rPr>
        <w:t xml:space="preserve">Situação atual das Terras Indígenas. </w:t>
      </w:r>
      <w:r>
        <w:rPr>
          <w:rFonts w:ascii="Times New Roman" w:eastAsia="Times New Roman" w:hAnsi="Times New Roman" w:cs="Times New Roman"/>
          <w:color w:val="000000"/>
        </w:rPr>
        <w:t>Disponível em: https://terrasindigenas.org.br/. Acesso em: 17 out. 2023.</w:t>
      </w:r>
    </w:p>
    <w:p w14:paraId="2423F69F" w14:textId="77777777" w:rsidR="002852F7" w:rsidRDefault="002852F7">
      <w:pPr>
        <w:numPr>
          <w:ilvl w:val="0"/>
          <w:numId w:val="1"/>
        </w:numPr>
        <w:pBdr>
          <w:top w:val="nil"/>
          <w:left w:val="nil"/>
          <w:bottom w:val="nil"/>
          <w:right w:val="nil"/>
          <w:between w:val="nil"/>
        </w:pBdr>
        <w:ind w:left="0" w:firstLine="0"/>
        <w:jc w:val="center"/>
        <w:rPr>
          <w:rFonts w:ascii="Candara" w:eastAsia="Candara" w:hAnsi="Candara" w:cs="Candara"/>
          <w:i/>
          <w:color w:val="000000"/>
          <w:sz w:val="18"/>
          <w:szCs w:val="18"/>
        </w:rPr>
      </w:pPr>
    </w:p>
    <w:p w14:paraId="12B8F07B" w14:textId="77777777" w:rsidR="002852F7" w:rsidRDefault="00000000">
      <w:pPr>
        <w:pBdr>
          <w:top w:val="nil"/>
          <w:left w:val="nil"/>
          <w:bottom w:val="nil"/>
          <w:right w:val="nil"/>
          <w:between w:val="nil"/>
        </w:pBdr>
        <w:jc w:val="center"/>
        <w:rPr>
          <w:rFonts w:ascii="Candara" w:eastAsia="Candara" w:hAnsi="Candara" w:cs="Candara"/>
          <w:i/>
          <w:color w:val="000000"/>
          <w:sz w:val="18"/>
          <w:szCs w:val="18"/>
        </w:rPr>
      </w:pPr>
      <w:r>
        <w:rPr>
          <w:rFonts w:ascii="Candara" w:eastAsia="Candara" w:hAnsi="Candara" w:cs="Candara"/>
          <w:color w:val="000000"/>
          <w:sz w:val="18"/>
          <w:szCs w:val="18"/>
        </w:rPr>
        <w:t>Este é um ARTIGO publicado em acesso aberto (</w:t>
      </w:r>
      <w:r>
        <w:rPr>
          <w:rFonts w:ascii="Candara" w:eastAsia="Candara" w:hAnsi="Candara" w:cs="Candara"/>
          <w:i/>
          <w:color w:val="000000"/>
          <w:sz w:val="18"/>
          <w:szCs w:val="18"/>
        </w:rPr>
        <w:t xml:space="preserve">Open Access) </w:t>
      </w:r>
      <w:r>
        <w:rPr>
          <w:rFonts w:ascii="Candara" w:eastAsia="Candara" w:hAnsi="Candara" w:cs="Candara"/>
          <w:color w:val="000000"/>
          <w:sz w:val="18"/>
          <w:szCs w:val="18"/>
        </w:rPr>
        <w:t xml:space="preserve">sob a licença </w:t>
      </w:r>
      <w:r>
        <w:rPr>
          <w:rFonts w:ascii="Candara" w:eastAsia="Candara" w:hAnsi="Candara" w:cs="Candara"/>
          <w:i/>
          <w:color w:val="000000"/>
          <w:sz w:val="18"/>
          <w:szCs w:val="18"/>
        </w:rPr>
        <w:t xml:space="preserve">Creative </w:t>
      </w:r>
    </w:p>
    <w:p w14:paraId="5BEE536F" w14:textId="77777777" w:rsidR="002852F7" w:rsidRDefault="00000000">
      <w:pPr>
        <w:pBdr>
          <w:top w:val="nil"/>
          <w:left w:val="nil"/>
          <w:bottom w:val="nil"/>
          <w:right w:val="nil"/>
          <w:between w:val="nil"/>
        </w:pBdr>
        <w:jc w:val="center"/>
        <w:rPr>
          <w:rFonts w:ascii="Candara" w:eastAsia="Candara" w:hAnsi="Candara" w:cs="Candara"/>
          <w:color w:val="000000"/>
          <w:sz w:val="18"/>
          <w:szCs w:val="18"/>
        </w:rPr>
      </w:pPr>
      <w:r>
        <w:rPr>
          <w:rFonts w:ascii="Candara" w:eastAsia="Candara" w:hAnsi="Candara" w:cs="Candara"/>
          <w:i/>
          <w:color w:val="000000"/>
          <w:sz w:val="18"/>
          <w:szCs w:val="18"/>
        </w:rPr>
        <w:t>Commons Attribution</w:t>
      </w:r>
      <w:r>
        <w:rPr>
          <w:rFonts w:ascii="Candara" w:eastAsia="Candara" w:hAnsi="Candara" w:cs="Candara"/>
          <w:color w:val="000000"/>
          <w:sz w:val="18"/>
          <w:szCs w:val="18"/>
        </w:rPr>
        <w:t xml:space="preserve">, que permite uso, distribuição e reprodução em qualquer meio, </w:t>
      </w:r>
    </w:p>
    <w:p w14:paraId="61039E5E" w14:textId="77777777" w:rsidR="002852F7" w:rsidRDefault="00000000">
      <w:pPr>
        <w:pBdr>
          <w:top w:val="nil"/>
          <w:left w:val="nil"/>
          <w:bottom w:val="nil"/>
          <w:right w:val="nil"/>
          <w:between w:val="nil"/>
        </w:pBdr>
        <w:jc w:val="center"/>
        <w:rPr>
          <w:rFonts w:ascii="Candara" w:eastAsia="Candara" w:hAnsi="Candara" w:cs="Candara"/>
          <w:color w:val="000000"/>
          <w:sz w:val="18"/>
          <w:szCs w:val="18"/>
        </w:rPr>
      </w:pPr>
      <w:r>
        <w:rPr>
          <w:rFonts w:ascii="Candara" w:eastAsia="Candara" w:hAnsi="Candara" w:cs="Candara"/>
          <w:color w:val="000000"/>
          <w:sz w:val="18"/>
          <w:szCs w:val="18"/>
        </w:rPr>
        <w:t>sem restrições, desde que o trabalho original seja corretamente citado.</w:t>
      </w:r>
    </w:p>
    <w:sectPr w:rsidR="002852F7" w:rsidSect="0034566F">
      <w:headerReference w:type="default" r:id="rId9"/>
      <w:footerReference w:type="default" r:id="rId10"/>
      <w:headerReference w:type="first" r:id="rId11"/>
      <w:pgSz w:w="11906" w:h="16838"/>
      <w:pgMar w:top="1701" w:right="1134" w:bottom="1134" w:left="1701" w:header="0" w:footer="431" w:gutter="0"/>
      <w:pgNumType w:start="9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FBB7FB" w14:textId="77777777" w:rsidR="00CA5DB7" w:rsidRDefault="00CA5DB7">
      <w:r>
        <w:separator/>
      </w:r>
    </w:p>
  </w:endnote>
  <w:endnote w:type="continuationSeparator" w:id="0">
    <w:p w14:paraId="4C7B818D" w14:textId="77777777" w:rsidR="00CA5DB7" w:rsidRDefault="00CA5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F64DDA2E-1DBD-4F62-9F76-8BC1C8DAFE3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D23DE87-340A-483F-90CE-94F2A5B17E8C}"/>
    <w:embedBold r:id="rId3" w:fontKey="{B555EECF-7121-41FE-AE44-48F6B0F2D9BA}"/>
    <w:embedItalic r:id="rId4" w:fontKey="{AEE8D7FD-CDE0-4F77-A96A-1E000FE6A9B2}"/>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embedRegular r:id="rId5" w:fontKey="{BD38E614-A304-4630-9605-F28F79B9C340}"/>
    <w:embedBold r:id="rId6" w:fontKey="{BED0A97D-057E-4C81-955C-95B4C8958C2A}"/>
  </w:font>
  <w:font w:name="Liberation Sans">
    <w:altName w:val="Arial"/>
    <w:charset w:val="00"/>
    <w:family w:val="auto"/>
    <w:pitch w:val="default"/>
  </w:font>
  <w:font w:name="PingFang SC">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7" w:fontKey="{E1D05903-6D0D-4077-998E-C6D79B976DC8}"/>
    <w:embedBold r:id="rId8" w:fontKey="{D09FB5E5-E17E-4D56-849D-E531B7288014}"/>
    <w:embedItalic r:id="rId9" w:fontKey="{31A57E06-65BB-424B-A1F6-14242465D278}"/>
  </w:font>
  <w:font w:name="Candara">
    <w:panose1 w:val="020E0502030303020204"/>
    <w:charset w:val="00"/>
    <w:family w:val="swiss"/>
    <w:pitch w:val="variable"/>
    <w:sig w:usb0="A00002EF" w:usb1="4000A44B" w:usb2="00000000" w:usb3="00000000" w:csb0="0000019F" w:csb1="00000000"/>
    <w:embedRegular r:id="rId10" w:fontKey="{9C30AA5D-B9FE-470B-AAC6-49DB057BFD1B}"/>
    <w:embedItalic r:id="rId11" w:fontKey="{AA8716C1-E4D4-43A6-AA97-607466F054B8}"/>
  </w:font>
  <w:font w:name="Calibri Light">
    <w:panose1 w:val="020F0302020204030204"/>
    <w:charset w:val="00"/>
    <w:family w:val="swiss"/>
    <w:pitch w:val="variable"/>
    <w:sig w:usb0="E4002EFF" w:usb1="C200247B" w:usb2="00000009" w:usb3="00000000" w:csb0="000001FF" w:csb1="00000000"/>
    <w:embedRegular r:id="rId12" w:fontKey="{F3B40A94-00A2-4740-AB65-D2F81773AE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27279249"/>
      <w:docPartObj>
        <w:docPartGallery w:val="Page Numbers (Bottom of Page)"/>
        <w:docPartUnique/>
      </w:docPartObj>
    </w:sdtPr>
    <w:sdtEndPr>
      <w:rPr>
        <w:rFonts w:ascii="Times New Roman" w:hAnsi="Times New Roman" w:cs="Times New Roman"/>
        <w:sz w:val="20"/>
        <w:szCs w:val="20"/>
      </w:rPr>
    </w:sdtEndPr>
    <w:sdtContent>
      <w:p w14:paraId="377AD01F" w14:textId="77777777" w:rsidR="0034566F" w:rsidRDefault="0034566F" w:rsidP="0034566F">
        <w:pPr>
          <w:pBdr>
            <w:top w:val="nil"/>
            <w:left w:val="nil"/>
            <w:bottom w:val="nil"/>
            <w:right w:val="nil"/>
            <w:between w:val="nil"/>
          </w:pBdr>
          <w:tabs>
            <w:tab w:val="center" w:pos="4252"/>
            <w:tab w:val="right" w:pos="8504"/>
          </w:tabs>
          <w:ind w:left="-1701" w:right="-1134"/>
          <w:rPr>
            <w:rFonts w:ascii="Candara" w:eastAsia="Candara" w:hAnsi="Candara" w:cs="Candara"/>
            <w:color w:val="7798A1"/>
            <w:sz w:val="21"/>
            <w:szCs w:val="21"/>
          </w:rPr>
        </w:pPr>
        <w:r>
          <w:rPr>
            <w:rFonts w:ascii="Candara" w:eastAsia="Candara" w:hAnsi="Candara" w:cs="Candara"/>
            <w:color w:val="7798A1"/>
            <w:sz w:val="21"/>
            <w:szCs w:val="21"/>
          </w:rPr>
          <w:t>________________________________________________________________________________________________________________</w:t>
        </w:r>
      </w:p>
      <w:p w14:paraId="7D8F056E" w14:textId="77777777" w:rsidR="0034566F" w:rsidRDefault="0034566F" w:rsidP="0034566F">
        <w:pPr>
          <w:tabs>
            <w:tab w:val="center" w:pos="4252"/>
          </w:tabs>
          <w:ind w:right="-1134"/>
          <w:jc w:val="both"/>
          <w:rPr>
            <w:rFonts w:ascii="Times New Roman" w:eastAsia="Times New Roman" w:hAnsi="Times New Roman" w:cs="Times New Roman"/>
            <w:i/>
            <w:color w:val="2F5496"/>
            <w:sz w:val="20"/>
            <w:szCs w:val="20"/>
          </w:rPr>
        </w:pPr>
      </w:p>
      <w:p w14:paraId="3E383E78" w14:textId="26487C18" w:rsidR="0034566F" w:rsidRPr="0034566F" w:rsidRDefault="0034566F" w:rsidP="0034566F">
        <w:pPr>
          <w:tabs>
            <w:tab w:val="center" w:pos="4252"/>
          </w:tabs>
          <w:ind w:right="-1"/>
          <w:jc w:val="both"/>
          <w:rPr>
            <w:rFonts w:ascii="Times New Roman" w:eastAsia="Times New Roman" w:hAnsi="Times New Roman" w:cs="Times New Roman"/>
            <w:b/>
            <w:i/>
            <w:color w:val="2F5496"/>
            <w:sz w:val="20"/>
            <w:szCs w:val="20"/>
          </w:rPr>
        </w:pPr>
        <w:r>
          <w:rPr>
            <w:rFonts w:ascii="Times New Roman" w:eastAsia="Times New Roman" w:hAnsi="Times New Roman" w:cs="Times New Roman"/>
            <w:b/>
            <w:i/>
            <w:color w:val="2F5496"/>
            <w:sz w:val="20"/>
            <w:szCs w:val="20"/>
          </w:rPr>
          <w:t>A PERSPECTIVA DO DIREITO COMPARADO NO BRASIL – COLÔMBIA COMO CONTRIBUIÇÃO PARA O DEBATE SOBRE O DIREITO INDIGENISTA NO BRASIL</w:t>
        </w:r>
      </w:p>
      <w:p w14:paraId="0EC14CE6" w14:textId="77777777" w:rsidR="0034566F" w:rsidRDefault="0034566F" w:rsidP="0034566F">
        <w:pPr>
          <w:pBdr>
            <w:top w:val="nil"/>
            <w:left w:val="nil"/>
            <w:bottom w:val="nil"/>
            <w:right w:val="nil"/>
            <w:between w:val="nil"/>
          </w:pBdr>
          <w:tabs>
            <w:tab w:val="center" w:pos="4252"/>
            <w:tab w:val="right" w:pos="8504"/>
            <w:tab w:val="center" w:pos="4252"/>
          </w:tabs>
          <w:ind w:right="-1134"/>
          <w:rPr>
            <w:rFonts w:ascii="Georgia" w:eastAsia="Georgia" w:hAnsi="Georgia" w:cs="Georgia"/>
            <w:i/>
            <w:color w:val="2F5496"/>
            <w:sz w:val="20"/>
            <w:szCs w:val="20"/>
          </w:rPr>
        </w:pPr>
        <w:r>
          <w:rPr>
            <w:rFonts w:ascii="Georgia" w:eastAsia="Georgia" w:hAnsi="Georgia" w:cs="Georgia"/>
            <w:i/>
            <w:color w:val="2F5496"/>
            <w:sz w:val="20"/>
            <w:szCs w:val="20"/>
          </w:rPr>
          <w:tab/>
          <w:t xml:space="preserve">                                    </w:t>
        </w:r>
      </w:p>
      <w:p w14:paraId="28AFDC16" w14:textId="77777777" w:rsidR="0034566F" w:rsidRDefault="0034566F" w:rsidP="0034566F">
        <w:pPr>
          <w:pBdr>
            <w:top w:val="nil"/>
            <w:left w:val="nil"/>
            <w:bottom w:val="nil"/>
            <w:right w:val="nil"/>
            <w:between w:val="nil"/>
          </w:pBdr>
          <w:tabs>
            <w:tab w:val="center" w:pos="4252"/>
            <w:tab w:val="right" w:pos="8504"/>
            <w:tab w:val="center" w:pos="4252"/>
          </w:tabs>
          <w:ind w:right="-1134"/>
          <w:rPr>
            <w:rFonts w:ascii="Times New Roman" w:eastAsia="Times New Roman" w:hAnsi="Times New Roman" w:cs="Times New Roman"/>
            <w:color w:val="2F5496"/>
            <w:sz w:val="20"/>
            <w:szCs w:val="20"/>
          </w:rPr>
        </w:pPr>
        <w:r>
          <w:rPr>
            <w:rFonts w:ascii="Times New Roman" w:eastAsia="Times New Roman" w:hAnsi="Times New Roman" w:cs="Times New Roman"/>
            <w:color w:val="2F5496"/>
            <w:sz w:val="20"/>
            <w:szCs w:val="20"/>
          </w:rPr>
          <w:t>C</w:t>
        </w:r>
        <w:r>
          <w:rPr>
            <w:rFonts w:ascii="Times New Roman" w:eastAsia="Times New Roman" w:hAnsi="Times New Roman" w:cs="Times New Roman"/>
            <w:smallCaps/>
            <w:color w:val="2F5496"/>
            <w:sz w:val="20"/>
            <w:szCs w:val="20"/>
          </w:rPr>
          <w:t xml:space="preserve">ONFLUÊNCIAS </w:t>
        </w:r>
        <w:r>
          <w:rPr>
            <w:rFonts w:ascii="Times New Roman" w:eastAsia="Times New Roman" w:hAnsi="Times New Roman" w:cs="Times New Roman"/>
            <w:color w:val="2F5496"/>
            <w:sz w:val="20"/>
            <w:szCs w:val="20"/>
          </w:rPr>
          <w:t>– ISSN 1678-7145 | E-ISSN: 2318-4558 | Niterói/RJ</w:t>
        </w:r>
      </w:p>
      <w:p w14:paraId="3D6EDB33" w14:textId="5CA358C0" w:rsidR="0034566F" w:rsidRPr="0034566F" w:rsidRDefault="0034566F" w:rsidP="0034566F">
        <w:pPr>
          <w:pStyle w:val="Rodap"/>
          <w:tabs>
            <w:tab w:val="clear" w:pos="8504"/>
            <w:tab w:val="right" w:pos="9071"/>
          </w:tabs>
          <w:rPr>
            <w:rFonts w:ascii="Times New Roman" w:hAnsi="Times New Roman" w:cs="Times New Roman"/>
            <w:sz w:val="20"/>
            <w:szCs w:val="20"/>
          </w:rPr>
        </w:pPr>
        <w:r>
          <w:rPr>
            <w:rFonts w:ascii="Times New Roman" w:eastAsia="Times New Roman" w:hAnsi="Times New Roman" w:cs="Times New Roman"/>
            <w:color w:val="2F5496"/>
            <w:sz w:val="20"/>
            <w:szCs w:val="20"/>
          </w:rPr>
          <w:t xml:space="preserve">Volume 26 | Número 2 | maio-agosto de 2024                                                                                                      </w:t>
        </w:r>
        <w:r w:rsidRPr="0034566F">
          <w:rPr>
            <w:rFonts w:ascii="Times New Roman" w:hAnsi="Times New Roman" w:cs="Times New Roman"/>
            <w:sz w:val="20"/>
            <w:szCs w:val="20"/>
          </w:rPr>
          <w:fldChar w:fldCharType="begin"/>
        </w:r>
        <w:r w:rsidRPr="0034566F">
          <w:rPr>
            <w:rFonts w:ascii="Times New Roman" w:hAnsi="Times New Roman" w:cs="Times New Roman"/>
            <w:sz w:val="20"/>
            <w:szCs w:val="20"/>
          </w:rPr>
          <w:instrText>PAGE   \* MERGEFORMAT</w:instrText>
        </w:r>
        <w:r w:rsidRPr="0034566F">
          <w:rPr>
            <w:rFonts w:ascii="Times New Roman" w:hAnsi="Times New Roman" w:cs="Times New Roman"/>
            <w:sz w:val="20"/>
            <w:szCs w:val="20"/>
          </w:rPr>
          <w:fldChar w:fldCharType="separate"/>
        </w:r>
        <w:r w:rsidRPr="0034566F">
          <w:rPr>
            <w:rFonts w:ascii="Times New Roman" w:hAnsi="Times New Roman" w:cs="Times New Roman"/>
            <w:sz w:val="20"/>
            <w:szCs w:val="20"/>
          </w:rPr>
          <w:t>2</w:t>
        </w:r>
        <w:r w:rsidRPr="0034566F">
          <w:rPr>
            <w:rFonts w:ascii="Times New Roman" w:hAnsi="Times New Roman" w:cs="Times New Roman"/>
            <w:sz w:val="20"/>
            <w:szCs w:val="20"/>
          </w:rPr>
          <w:fldChar w:fldCharType="end"/>
        </w:r>
      </w:p>
    </w:sdtContent>
  </w:sdt>
  <w:p w14:paraId="4326BE17" w14:textId="35EF6E7F" w:rsidR="002852F7" w:rsidRDefault="002852F7">
    <w:pPr>
      <w:pBdr>
        <w:top w:val="nil"/>
        <w:left w:val="nil"/>
        <w:bottom w:val="nil"/>
        <w:right w:val="nil"/>
        <w:between w:val="nil"/>
      </w:pBdr>
      <w:tabs>
        <w:tab w:val="center" w:pos="4252"/>
        <w:tab w:val="right" w:pos="8504"/>
      </w:tabs>
      <w:ind w:right="360"/>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98D2F5" w14:textId="77777777" w:rsidR="00CA5DB7" w:rsidRDefault="00CA5DB7">
      <w:r>
        <w:separator/>
      </w:r>
    </w:p>
  </w:footnote>
  <w:footnote w:type="continuationSeparator" w:id="0">
    <w:p w14:paraId="48B8E5A6" w14:textId="77777777" w:rsidR="00CA5DB7" w:rsidRDefault="00CA5DB7">
      <w:r>
        <w:continuationSeparator/>
      </w:r>
    </w:p>
  </w:footnote>
  <w:footnote w:id="1">
    <w:p w14:paraId="529F34FF" w14:textId="77777777" w:rsidR="002852F7" w:rsidRDefault="00000000">
      <w:pPr>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Bacharel em Direito pela Universidade Federal Fluminense (UFF). Especialização em andamento em Direito Ambiental Brasileiro pela Pontifícia Universidade Católica do Rio de Janeiro (PUC-Rio). – E-mail: carloseduardofamadas@id.uff.br – Orcid: https://orcid.org/0009-0004-8644-1911.</w:t>
      </w:r>
    </w:p>
  </w:footnote>
  <w:footnote w:id="2">
    <w:p w14:paraId="40C10F13" w14:textId="77777777" w:rsidR="002852F7" w:rsidRDefault="00000000">
      <w:pPr>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Professora Associada com dedicação exclusiva na Universidade Federal Fluminense (UFF). Atualmente é Coordenadora da Pós-Graduação Lato Sensu Residência Jurídica em Resolução de Conflitos na Universidade Federal Fluminense. – E-mail: fabiannemanhaes@id.uff.br – Orcid: https://orcid.org/0000-0002-6055-6903</w:t>
      </w:r>
    </w:p>
    <w:p w14:paraId="496C3015" w14:textId="77777777" w:rsidR="002852F7" w:rsidRDefault="002852F7">
      <w:pPr>
        <w:pBdr>
          <w:top w:val="nil"/>
          <w:left w:val="nil"/>
          <w:bottom w:val="nil"/>
          <w:right w:val="nil"/>
          <w:between w:val="nil"/>
        </w:pBdr>
        <w:rPr>
          <w:rFonts w:ascii="Calibri" w:eastAsia="Calibri" w:hAnsi="Calibri" w:cs="Calibri"/>
          <w:color w:val="000000"/>
          <w:sz w:val="20"/>
          <w:szCs w:val="20"/>
        </w:rPr>
      </w:pPr>
    </w:p>
  </w:footnote>
  <w:footnote w:id="3">
    <w:p w14:paraId="567D69D9" w14:textId="77777777" w:rsidR="002852F7" w:rsidRPr="00344C21" w:rsidRDefault="00000000">
      <w:pPr>
        <w:pBdr>
          <w:top w:val="nil"/>
          <w:left w:val="nil"/>
          <w:bottom w:val="nil"/>
          <w:right w:val="nil"/>
          <w:between w:val="nil"/>
        </w:pBdr>
        <w:jc w:val="both"/>
        <w:rPr>
          <w:rFonts w:ascii="Times New Roman" w:eastAsia="Times New Roman" w:hAnsi="Times New Roman" w:cs="Times New Roman"/>
          <w:color w:val="000000"/>
          <w:sz w:val="20"/>
          <w:szCs w:val="20"/>
        </w:rPr>
      </w:pPr>
      <w:r w:rsidRPr="00344C21">
        <w:rPr>
          <w:rFonts w:ascii="Times New Roman" w:hAnsi="Times New Roman" w:cs="Times New Roman"/>
          <w:sz w:val="20"/>
          <w:szCs w:val="20"/>
          <w:vertAlign w:val="superscript"/>
        </w:rPr>
        <w:footnoteRef/>
      </w:r>
      <w:r w:rsidRPr="00344C21">
        <w:rPr>
          <w:rFonts w:ascii="Times New Roman" w:eastAsia="Times New Roman" w:hAnsi="Times New Roman" w:cs="Times New Roman"/>
          <w:color w:val="000000"/>
          <w:sz w:val="20"/>
          <w:szCs w:val="20"/>
        </w:rPr>
        <w:t xml:space="preserve"> Local onde a Ordem da Companhia de Jesus oferecia proteção aos indígenas em troca da submissão destes ao catolicismo. Ademais, os indígenas convertidos eram utilizados nas lavouras em trabalho análogo a escravidão e em campanhas bélicas contra outros povos indígenas. </w:t>
      </w:r>
    </w:p>
  </w:footnote>
  <w:footnote w:id="4">
    <w:p w14:paraId="245289F8" w14:textId="77777777" w:rsidR="002852F7" w:rsidRPr="00344C21" w:rsidRDefault="00000000">
      <w:pPr>
        <w:pBdr>
          <w:top w:val="nil"/>
          <w:left w:val="nil"/>
          <w:bottom w:val="nil"/>
          <w:right w:val="nil"/>
          <w:between w:val="nil"/>
        </w:pBdr>
        <w:jc w:val="both"/>
        <w:rPr>
          <w:rFonts w:ascii="Times New Roman" w:eastAsia="Times New Roman" w:hAnsi="Times New Roman" w:cs="Times New Roman"/>
          <w:color w:val="000000"/>
          <w:sz w:val="20"/>
          <w:szCs w:val="20"/>
        </w:rPr>
      </w:pPr>
      <w:r w:rsidRPr="00344C21">
        <w:rPr>
          <w:rFonts w:ascii="Times New Roman" w:hAnsi="Times New Roman" w:cs="Times New Roman"/>
          <w:sz w:val="20"/>
          <w:szCs w:val="20"/>
          <w:vertAlign w:val="superscript"/>
        </w:rPr>
        <w:footnoteRef/>
      </w:r>
      <w:r w:rsidRPr="00344C21">
        <w:rPr>
          <w:rFonts w:ascii="Times New Roman" w:eastAsia="Times New Roman" w:hAnsi="Times New Roman" w:cs="Times New Roman"/>
          <w:color w:val="000000"/>
          <w:sz w:val="20"/>
          <w:szCs w:val="20"/>
        </w:rPr>
        <w:t xml:space="preserve"> Local onde os indígenas eram concentrados e submetidos pela Coroa Espanhola ao trabalho compulsório, análogo à escravidão. Lá os indígenas trabalhavam por um salário que se esgotava com o pagamento dos impostos à Coroa e eram progressivamente catequizados e assimilados pela sociedade espanhola.</w:t>
      </w:r>
    </w:p>
  </w:footnote>
  <w:footnote w:id="5">
    <w:p w14:paraId="0D83A44C" w14:textId="77777777" w:rsidR="002852F7" w:rsidRDefault="00000000">
      <w:pPr>
        <w:pBdr>
          <w:top w:val="nil"/>
          <w:left w:val="nil"/>
          <w:bottom w:val="nil"/>
          <w:right w:val="nil"/>
          <w:between w:val="nil"/>
        </w:pBdr>
        <w:jc w:val="both"/>
        <w:rPr>
          <w:rFonts w:ascii="Times New Roman" w:eastAsia="Times New Roman" w:hAnsi="Times New Roman" w:cs="Times New Roman"/>
          <w:color w:val="000000"/>
          <w:sz w:val="20"/>
          <w:szCs w:val="20"/>
        </w:rPr>
      </w:pPr>
      <w:r w:rsidRPr="00344C21">
        <w:rPr>
          <w:rFonts w:ascii="Times New Roman" w:hAnsi="Times New Roman" w:cs="Times New Roman"/>
          <w:sz w:val="20"/>
          <w:szCs w:val="20"/>
          <w:vertAlign w:val="superscript"/>
        </w:rPr>
        <w:footnoteRef/>
      </w:r>
      <w:r w:rsidRPr="00344C21">
        <w:rPr>
          <w:rFonts w:ascii="Times New Roman" w:eastAsia="Times New Roman" w:hAnsi="Times New Roman" w:cs="Times New Roman"/>
          <w:color w:val="000000"/>
          <w:sz w:val="20"/>
          <w:szCs w:val="20"/>
        </w:rPr>
        <w:t xml:space="preserve"> O primeiro debate axiológico sobre os direitos humanos dos povos indígenas. De caráter teológico, foi realizado pela Igreja Católica em função das denúncias realizadas pelos Freis Dominicanos.</w:t>
      </w:r>
    </w:p>
  </w:footnote>
  <w:footnote w:id="6">
    <w:p w14:paraId="0E42A9BD" w14:textId="77777777" w:rsidR="002852F7" w:rsidRDefault="00000000">
      <w:pPr>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Figura jurídica equivalente à Reserva Indígena. Sucessoras das Encomiendas, raramente correspondem às terras tradicionais dos povos indígenas. São títulos de propriedade e posse inalienáveis, imprescritíveis e impenhoráveis (art. 63, CP/1991).</w:t>
      </w:r>
    </w:p>
  </w:footnote>
  <w:footnote w:id="7">
    <w:p w14:paraId="2E767EFE" w14:textId="77777777" w:rsidR="002852F7" w:rsidRPr="00344C21" w:rsidRDefault="00000000">
      <w:pPr>
        <w:pBdr>
          <w:top w:val="nil"/>
          <w:left w:val="nil"/>
          <w:bottom w:val="nil"/>
          <w:right w:val="nil"/>
          <w:between w:val="nil"/>
        </w:pBdr>
        <w:jc w:val="both"/>
        <w:rPr>
          <w:rFonts w:ascii="Times New Roman" w:eastAsia="Times New Roman" w:hAnsi="Times New Roman" w:cs="Times New Roman"/>
          <w:color w:val="000000"/>
          <w:sz w:val="20"/>
          <w:szCs w:val="20"/>
        </w:rPr>
      </w:pPr>
      <w:r w:rsidRPr="00344C21">
        <w:rPr>
          <w:rFonts w:ascii="Times New Roman" w:hAnsi="Times New Roman" w:cs="Times New Roman"/>
          <w:sz w:val="20"/>
          <w:szCs w:val="20"/>
          <w:vertAlign w:val="superscript"/>
        </w:rPr>
        <w:footnoteRef/>
      </w:r>
      <w:r w:rsidRPr="00344C21">
        <w:rPr>
          <w:rFonts w:ascii="Times New Roman" w:eastAsia="Times New Roman" w:hAnsi="Times New Roman" w:cs="Times New Roman"/>
          <w:color w:val="000000"/>
          <w:sz w:val="20"/>
          <w:szCs w:val="20"/>
        </w:rPr>
        <w:t xml:space="preserve"> Líder indígena, militar, político, jurista, autodidata e revolucionário colombiano da etnia Nasa (1880-1967). Lutou na Guerra dos Mil Dias, estudou o direito indigenista colombiano e, nomeado Chefe Indígena de Cauca, tentou constituir uma república indígena em Cauca, foi preso mais de 100 vezes e inspirou o Movimento Armado Quintín Lame em 1980.</w:t>
      </w:r>
    </w:p>
  </w:footnote>
  <w:footnote w:id="8">
    <w:p w14:paraId="12F2AD1E" w14:textId="77777777" w:rsidR="002852F7" w:rsidRPr="00344C21" w:rsidRDefault="00000000">
      <w:pPr>
        <w:pBdr>
          <w:top w:val="nil"/>
          <w:left w:val="nil"/>
          <w:bottom w:val="nil"/>
          <w:right w:val="nil"/>
          <w:between w:val="nil"/>
        </w:pBdr>
        <w:jc w:val="both"/>
        <w:rPr>
          <w:rFonts w:ascii="Times New Roman" w:eastAsia="Calibri" w:hAnsi="Times New Roman" w:cs="Times New Roman"/>
          <w:color w:val="000000"/>
          <w:sz w:val="20"/>
          <w:szCs w:val="20"/>
        </w:rPr>
      </w:pPr>
      <w:r w:rsidRPr="00344C21">
        <w:rPr>
          <w:rFonts w:ascii="Times New Roman" w:hAnsi="Times New Roman" w:cs="Times New Roman"/>
          <w:sz w:val="20"/>
          <w:szCs w:val="20"/>
          <w:vertAlign w:val="superscript"/>
        </w:rPr>
        <w:footnoteRef/>
      </w:r>
      <w:r w:rsidRPr="00344C21">
        <w:rPr>
          <w:rFonts w:ascii="Times New Roman" w:eastAsia="Calibri" w:hAnsi="Times New Roman" w:cs="Times New Roman"/>
          <w:color w:val="000000"/>
          <w:sz w:val="20"/>
          <w:szCs w:val="20"/>
        </w:rPr>
        <w:t xml:space="preserve"> </w:t>
      </w:r>
      <w:r w:rsidRPr="00344C21">
        <w:rPr>
          <w:rFonts w:ascii="Times New Roman" w:eastAsia="Times New Roman" w:hAnsi="Times New Roman" w:cs="Times New Roman"/>
          <w:color w:val="000000"/>
          <w:sz w:val="20"/>
          <w:szCs w:val="20"/>
        </w:rPr>
        <w:t>Lei Orgânica de Ordenamento Territorial. Essa lei é um instrumento de organização e de planejamento nacional com o escopo de descentralização político-administrativa.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1EB48B" w14:textId="77777777" w:rsidR="002852F7" w:rsidRDefault="00000000">
    <w:pPr>
      <w:pBdr>
        <w:top w:val="nil"/>
        <w:left w:val="nil"/>
        <w:bottom w:val="nil"/>
        <w:right w:val="nil"/>
        <w:between w:val="nil"/>
      </w:pBdr>
      <w:tabs>
        <w:tab w:val="center" w:pos="4252"/>
        <w:tab w:val="right" w:pos="8504"/>
      </w:tabs>
      <w:rPr>
        <w:rFonts w:ascii="Georgia" w:eastAsia="Georgia" w:hAnsi="Georgia" w:cs="Georgia"/>
        <w:i/>
        <w:color w:val="EC4E20"/>
        <w:sz w:val="18"/>
        <w:szCs w:val="18"/>
      </w:rPr>
    </w:pPr>
    <w:r>
      <w:rPr>
        <w:rFonts w:ascii="Georgia" w:eastAsia="Georgia" w:hAnsi="Georgia" w:cs="Georgia"/>
        <w:i/>
        <w:noProof/>
        <w:color w:val="EC4E20"/>
        <w:sz w:val="18"/>
        <w:szCs w:val="18"/>
      </w:rPr>
      <w:drawing>
        <wp:anchor distT="0" distB="0" distL="0" distR="0" simplePos="0" relativeHeight="251658240" behindDoc="1" locked="0" layoutInCell="1" hidden="0" allowOverlap="1" wp14:anchorId="333B7F4B" wp14:editId="0C8F3CA3">
          <wp:simplePos x="0" y="0"/>
          <wp:positionH relativeFrom="margin">
            <wp:posOffset>-1074418</wp:posOffset>
          </wp:positionH>
          <wp:positionV relativeFrom="margin">
            <wp:posOffset>-1072513</wp:posOffset>
          </wp:positionV>
          <wp:extent cx="7602855" cy="906780"/>
          <wp:effectExtent l="0" t="0" r="0" b="0"/>
          <wp:wrapNone/>
          <wp:docPr id="13104612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02855" cy="906780"/>
                  </a:xfrm>
                  <a:prstGeom prst="rect">
                    <a:avLst/>
                  </a:prstGeom>
                  <a:ln/>
                </pic:spPr>
              </pic:pic>
            </a:graphicData>
          </a:graphic>
        </wp:anchor>
      </w:drawing>
    </w:r>
  </w:p>
  <w:p w14:paraId="7600FC27" w14:textId="77777777" w:rsidR="002852F7" w:rsidRDefault="00000000">
    <w:pPr>
      <w:pBdr>
        <w:top w:val="nil"/>
        <w:left w:val="nil"/>
        <w:bottom w:val="nil"/>
        <w:right w:val="nil"/>
        <w:between w:val="nil"/>
      </w:pBdr>
      <w:tabs>
        <w:tab w:val="center" w:pos="4252"/>
        <w:tab w:val="right" w:pos="8504"/>
      </w:tabs>
      <w:spacing w:after="60"/>
      <w:jc w:val="right"/>
      <w:rPr>
        <w:rFonts w:ascii="Georgia" w:eastAsia="Georgia" w:hAnsi="Georgia" w:cs="Georgia"/>
        <w:b/>
        <w:color w:val="2F5496"/>
        <w:sz w:val="22"/>
        <w:szCs w:val="22"/>
      </w:rPr>
    </w:pPr>
    <w:r>
      <w:rPr>
        <w:rFonts w:ascii="Georgia" w:eastAsia="Georgia" w:hAnsi="Georgia" w:cs="Georgia"/>
        <w:i/>
        <w:color w:val="2F5496"/>
        <w:sz w:val="20"/>
        <w:szCs w:val="20"/>
      </w:rPr>
      <w:tab/>
    </w:r>
  </w:p>
  <w:p w14:paraId="1ED66532" w14:textId="77777777" w:rsidR="002852F7" w:rsidRDefault="002852F7">
    <w:pPr>
      <w:pBdr>
        <w:top w:val="nil"/>
        <w:left w:val="nil"/>
        <w:bottom w:val="nil"/>
        <w:right w:val="nil"/>
        <w:between w:val="nil"/>
      </w:pBdr>
      <w:tabs>
        <w:tab w:val="center" w:pos="4252"/>
        <w:tab w:val="right" w:pos="8504"/>
      </w:tabs>
      <w:spacing w:after="60"/>
      <w:jc w:val="right"/>
      <w:rPr>
        <w:rFonts w:ascii="Calibri" w:eastAsia="Calibri" w:hAnsi="Calibri" w:cs="Calibri"/>
        <w:i/>
        <w:color w:val="EC4E2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13D11" w14:textId="77777777" w:rsidR="002852F7" w:rsidRDefault="00000000">
    <w:pPr>
      <w:pBdr>
        <w:top w:val="nil"/>
        <w:left w:val="nil"/>
        <w:bottom w:val="nil"/>
        <w:right w:val="nil"/>
        <w:between w:val="nil"/>
      </w:pBdr>
      <w:tabs>
        <w:tab w:val="center" w:pos="4252"/>
        <w:tab w:val="right" w:pos="8504"/>
      </w:tabs>
      <w:rPr>
        <w:rFonts w:ascii="Calibri" w:eastAsia="Calibri" w:hAnsi="Calibri" w:cs="Calibri"/>
        <w:color w:val="000000"/>
      </w:rPr>
    </w:pPr>
    <w:r>
      <w:rPr>
        <w:rFonts w:ascii="Calibri" w:eastAsia="Calibri" w:hAnsi="Calibri" w:cs="Calibri"/>
        <w:noProof/>
        <w:color w:val="000000"/>
      </w:rPr>
      <w:drawing>
        <wp:anchor distT="0" distB="0" distL="0" distR="0" simplePos="0" relativeHeight="251659264" behindDoc="1" locked="0" layoutInCell="1" hidden="0" allowOverlap="1" wp14:anchorId="6E15EB44" wp14:editId="59EF766E">
          <wp:simplePos x="0" y="0"/>
          <wp:positionH relativeFrom="margin">
            <wp:posOffset>-1104897</wp:posOffset>
          </wp:positionH>
          <wp:positionV relativeFrom="margin">
            <wp:posOffset>-1080132</wp:posOffset>
          </wp:positionV>
          <wp:extent cx="7603490" cy="907415"/>
          <wp:effectExtent l="0" t="0" r="0" b="0"/>
          <wp:wrapNone/>
          <wp:docPr id="18524997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03490" cy="9074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22345B3"/>
    <w:multiLevelType w:val="multilevel"/>
    <w:tmpl w:val="74A442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885691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52F7"/>
    <w:rsid w:val="0005754C"/>
    <w:rsid w:val="002852F7"/>
    <w:rsid w:val="00344C21"/>
    <w:rsid w:val="0034566F"/>
    <w:rsid w:val="00431FEC"/>
    <w:rsid w:val="004423A7"/>
    <w:rsid w:val="004806CF"/>
    <w:rsid w:val="00817E7C"/>
    <w:rsid w:val="00986CCD"/>
    <w:rsid w:val="009F58F3"/>
    <w:rsid w:val="00A556D7"/>
    <w:rsid w:val="00BF2C7C"/>
    <w:rsid w:val="00CA5DB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7BCC0F"/>
  <w15:docId w15:val="{31083D4F-61EA-4616-AC20-CEE6D770B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pt-BR"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heme="minorHAnsi" w:eastAsiaTheme="minorHAnsi" w:hAnsiTheme="minorHAnsi" w:cstheme="minorBidi"/>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Ttulo"/>
    <w:next w:val="Corpodetexto"/>
    <w:uiPriority w:val="9"/>
    <w:semiHidden/>
    <w:unhideWhenUsed/>
    <w:qFormat/>
    <w:pPr>
      <w:spacing w:before="200"/>
      <w:outlineLvl w:val="1"/>
    </w:pPr>
    <w:rPr>
      <w:rFonts w:ascii="Liberation Serif" w:eastAsia="Tahoma" w:hAnsi="Liberation Serif" w:cs="Tahoma"/>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Corpodetexto"/>
    <w:uiPriority w:val="10"/>
    <w:qFormat/>
    <w:pPr>
      <w:keepNext/>
      <w:spacing w:before="240" w:after="120"/>
    </w:pPr>
    <w:rPr>
      <w:rFonts w:ascii="Liberation Sans" w:eastAsia="PingFang SC" w:hAnsi="Liberation Sans" w:cs="Arial Unicode MS"/>
      <w:sz w:val="28"/>
      <w:szCs w:val="28"/>
    </w:rPr>
  </w:style>
  <w:style w:type="table" w:customStyle="1" w:styleId="TableNormal0">
    <w:name w:val="Table Normal"/>
    <w:tblPr>
      <w:tblCellMar>
        <w:top w:w="0" w:type="dxa"/>
        <w:left w:w="0" w:type="dxa"/>
        <w:bottom w:w="0" w:type="dxa"/>
        <w:right w:w="0" w:type="dxa"/>
      </w:tblCellMar>
    </w:tblPr>
  </w:style>
  <w:style w:type="character" w:customStyle="1" w:styleId="CabealhoChar">
    <w:name w:val="Cabeçalho Char"/>
    <w:basedOn w:val="Fontepargpadro"/>
    <w:link w:val="Cabealho"/>
    <w:uiPriority w:val="99"/>
    <w:qFormat/>
    <w:rsid w:val="008747EF"/>
  </w:style>
  <w:style w:type="character" w:customStyle="1" w:styleId="RodapChar">
    <w:name w:val="Rodapé Char"/>
    <w:basedOn w:val="Fontepargpadro"/>
    <w:link w:val="Rodap"/>
    <w:uiPriority w:val="99"/>
    <w:qFormat/>
    <w:rsid w:val="008747EF"/>
  </w:style>
  <w:style w:type="character" w:styleId="Nmerodepgina">
    <w:name w:val="page number"/>
    <w:basedOn w:val="Fontepargpadro"/>
    <w:uiPriority w:val="99"/>
    <w:semiHidden/>
    <w:unhideWhenUsed/>
    <w:qFormat/>
    <w:rsid w:val="008747EF"/>
  </w:style>
  <w:style w:type="character" w:customStyle="1" w:styleId="TextodenotaderodapChar">
    <w:name w:val="Texto de nota de rodapé Char"/>
    <w:basedOn w:val="Fontepargpadro"/>
    <w:link w:val="Textodenotaderodap"/>
    <w:uiPriority w:val="99"/>
    <w:semiHidden/>
    <w:qFormat/>
    <w:rsid w:val="001B3B4C"/>
    <w:rPr>
      <w:sz w:val="20"/>
      <w:szCs w:val="20"/>
    </w:rPr>
  </w:style>
  <w:style w:type="character" w:customStyle="1" w:styleId="ncoradanotaderodap">
    <w:name w:val="Âncora da nota de rodapé"/>
    <w:rPr>
      <w:vertAlign w:val="superscript"/>
    </w:rPr>
  </w:style>
  <w:style w:type="character" w:customStyle="1" w:styleId="FootnoteCharacters">
    <w:name w:val="Footnote Characters"/>
    <w:basedOn w:val="Fontepargpadro"/>
    <w:uiPriority w:val="99"/>
    <w:semiHidden/>
    <w:unhideWhenUsed/>
    <w:qFormat/>
    <w:rsid w:val="001B3B4C"/>
    <w:rPr>
      <w:vertAlign w:val="superscript"/>
    </w:rPr>
  </w:style>
  <w:style w:type="character" w:customStyle="1" w:styleId="TextodebaloChar">
    <w:name w:val="Texto de balão Char"/>
    <w:basedOn w:val="Fontepargpadro"/>
    <w:link w:val="Textodebalo"/>
    <w:uiPriority w:val="99"/>
    <w:semiHidden/>
    <w:qFormat/>
    <w:rsid w:val="0089466F"/>
    <w:rPr>
      <w:rFonts w:ascii="Tahoma" w:hAnsi="Tahoma" w:cs="Tahoma"/>
      <w:sz w:val="16"/>
      <w:szCs w:val="16"/>
    </w:rPr>
  </w:style>
  <w:style w:type="character" w:customStyle="1" w:styleId="Caracteresdenotaderodap">
    <w:name w:val="Caracteres de nota de rodapé"/>
    <w:qFormat/>
  </w:style>
  <w:style w:type="character" w:customStyle="1" w:styleId="ncoradanotadefim">
    <w:name w:val="Âncora da nota de fim"/>
    <w:rPr>
      <w:vertAlign w:val="superscript"/>
    </w:rPr>
  </w:style>
  <w:style w:type="character" w:customStyle="1" w:styleId="Caracteresdenotadefim">
    <w:name w:val="Caracteres de nota de fim"/>
    <w:qFormat/>
  </w:style>
  <w:style w:type="character" w:customStyle="1" w:styleId="LinkdaInternet">
    <w:name w:val="Link da Internet"/>
    <w:rPr>
      <w:color w:val="000080"/>
      <w:u w:val="single"/>
    </w:rPr>
  </w:style>
  <w:style w:type="paragraph" w:styleId="Corpodetexto">
    <w:name w:val="Body Text"/>
    <w:basedOn w:val="Normal"/>
    <w:pPr>
      <w:spacing w:after="140" w:line="276" w:lineRule="auto"/>
    </w:pPr>
  </w:style>
  <w:style w:type="paragraph" w:styleId="Lista">
    <w:name w:val="List"/>
    <w:basedOn w:val="Corpodetexto"/>
    <w:rPr>
      <w:rFonts w:cs="Arial Unicode MS"/>
    </w:rPr>
  </w:style>
  <w:style w:type="paragraph" w:styleId="Legenda">
    <w:name w:val="caption"/>
    <w:basedOn w:val="Normal"/>
    <w:qFormat/>
    <w:pPr>
      <w:suppressLineNumbers/>
      <w:spacing w:before="120" w:after="120"/>
    </w:pPr>
    <w:rPr>
      <w:rFonts w:cs="Arial Unicode MS"/>
      <w:i/>
      <w:iCs/>
    </w:rPr>
  </w:style>
  <w:style w:type="paragraph" w:customStyle="1" w:styleId="ndice">
    <w:name w:val="Índice"/>
    <w:basedOn w:val="Normal"/>
    <w:qFormat/>
    <w:pPr>
      <w:suppressLineNumbers/>
    </w:pPr>
    <w:rPr>
      <w:rFonts w:cs="Arial Unicode MS"/>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8747EF"/>
    <w:pPr>
      <w:tabs>
        <w:tab w:val="center" w:pos="4252"/>
        <w:tab w:val="right" w:pos="8504"/>
      </w:tabs>
    </w:pPr>
  </w:style>
  <w:style w:type="paragraph" w:styleId="Rodap">
    <w:name w:val="footer"/>
    <w:basedOn w:val="Normal"/>
    <w:link w:val="RodapChar"/>
    <w:uiPriority w:val="99"/>
    <w:unhideWhenUsed/>
    <w:rsid w:val="008747EF"/>
    <w:pPr>
      <w:tabs>
        <w:tab w:val="center" w:pos="4252"/>
        <w:tab w:val="right" w:pos="8504"/>
      </w:tabs>
    </w:pPr>
  </w:style>
  <w:style w:type="paragraph" w:styleId="Textodenotaderodap">
    <w:name w:val="footnote text"/>
    <w:basedOn w:val="Normal"/>
    <w:link w:val="TextodenotaderodapChar"/>
    <w:uiPriority w:val="99"/>
    <w:semiHidden/>
    <w:unhideWhenUsed/>
    <w:rsid w:val="001B3B4C"/>
    <w:rPr>
      <w:sz w:val="20"/>
      <w:szCs w:val="20"/>
    </w:rPr>
  </w:style>
  <w:style w:type="paragraph" w:styleId="PargrafodaLista">
    <w:name w:val="List Paragraph"/>
    <w:basedOn w:val="Normal"/>
    <w:uiPriority w:val="34"/>
    <w:qFormat/>
    <w:rsid w:val="00113BDC"/>
    <w:pPr>
      <w:ind w:left="720"/>
      <w:contextualSpacing/>
    </w:pPr>
  </w:style>
  <w:style w:type="paragraph" w:styleId="Textodebalo">
    <w:name w:val="Balloon Text"/>
    <w:basedOn w:val="Normal"/>
    <w:link w:val="TextodebaloChar"/>
    <w:uiPriority w:val="99"/>
    <w:semiHidden/>
    <w:unhideWhenUsed/>
    <w:qFormat/>
    <w:rsid w:val="0089466F"/>
    <w:rPr>
      <w:rFonts w:ascii="Tahoma" w:hAnsi="Tahoma" w:cs="Tahoma"/>
      <w:sz w:val="16"/>
      <w:szCs w:val="16"/>
    </w:rPr>
  </w:style>
  <w:style w:type="paragraph" w:customStyle="1" w:styleId="LO-normal">
    <w:name w:val="LO-normal"/>
    <w:qFormat/>
    <w:pPr>
      <w:spacing w:after="200" w:line="276" w:lineRule="auto"/>
    </w:pPr>
    <w:rPr>
      <w:rFonts w:asciiTheme="minorHAnsi" w:eastAsiaTheme="minorHAnsi" w:hAnsiTheme="minorHAnsi" w:cstheme="minorBidi"/>
      <w:lang w:eastAsia="en-US"/>
    </w:rPr>
  </w:style>
  <w:style w:type="table" w:styleId="Tabelacomgrade">
    <w:name w:val="Table Grid"/>
    <w:basedOn w:val="Tabelanormal"/>
    <w:uiPriority w:val="39"/>
    <w:rsid w:val="00544C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mara.leg.br/proposicoesWeb/fichadetramitacao?idProposicao=17569"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2t+OX2YKIZM9dcaOUgTyJvQA8Q==">CgMxLjAyCmlkLjMwajB6bGwyCmlkLjFmb2I5dGUyCWlkLmdqZGd4czgAciExblhsUmpCcWU3OHpucTUtbnU1dkEyR1ZVZFpkM2NORHo=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9515</Words>
  <Characters>51385</Characters>
  <Application>Microsoft Office Word</Application>
  <DocSecurity>0</DocSecurity>
  <Lines>428</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Stefanie Saadi</dc:creator>
  <cp:lastModifiedBy>Thais Henriques Dias</cp:lastModifiedBy>
  <cp:revision>5</cp:revision>
  <cp:lastPrinted>2024-11-22T18:53:00Z</cp:lastPrinted>
  <dcterms:created xsi:type="dcterms:W3CDTF">2024-10-28T23:24:00Z</dcterms:created>
  <dcterms:modified xsi:type="dcterms:W3CDTF">2024-11-22T18:53:00Z</dcterms:modified>
</cp:coreProperties>
</file>