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20CBB" w14:textId="23653007" w:rsidR="00D36E23" w:rsidRPr="004F5E05" w:rsidRDefault="00913C6F" w:rsidP="00D36E23">
      <w:pPr>
        <w:autoSpaceDE w:val="0"/>
        <w:autoSpaceDN w:val="0"/>
        <w:adjustRightInd w:val="0"/>
        <w:spacing w:after="120"/>
        <w:rPr>
          <w:rFonts w:ascii="Garamond" w:hAnsi="Garamond" w:cs="Arial"/>
          <w:b/>
          <w:lang w:eastAsia="pt-BR"/>
        </w:rPr>
      </w:pPr>
      <w:r w:rsidRPr="00913C6F">
        <w:rPr>
          <w:rFonts w:ascii="Garamond" w:hAnsi="Garamond" w:cs="Arial"/>
          <w:b/>
          <w:lang w:eastAsia="pt-BR"/>
        </w:rPr>
        <w:t>EFEITOS  DE PERCEBER UM CHAMADO: UM MODELO ESTRUTURAL</w:t>
      </w:r>
      <w:r w:rsidR="00D014F5" w:rsidRPr="004F5E05">
        <w:rPr>
          <w:rFonts w:ascii="Garamond" w:hAnsi="Garamond" w:cs="Arial"/>
          <w:b/>
          <w:lang w:eastAsia="pt-BR"/>
        </w:rPr>
        <w:t xml:space="preserve"> </w:t>
      </w:r>
    </w:p>
    <w:p w14:paraId="46CF29CA" w14:textId="55AE4334" w:rsidR="00D36E23" w:rsidRPr="00567DD4" w:rsidRDefault="00647B56" w:rsidP="008156A9">
      <w:pPr>
        <w:autoSpaceDE w:val="0"/>
        <w:autoSpaceDN w:val="0"/>
        <w:adjustRightInd w:val="0"/>
        <w:spacing w:after="0"/>
        <w:rPr>
          <w:rFonts w:ascii="Garamond" w:hAnsi="Garamond" w:cs="Arial"/>
          <w:sz w:val="21"/>
          <w:szCs w:val="21"/>
          <w:lang w:val="en-US" w:eastAsia="pt-BR"/>
        </w:rPr>
      </w:pPr>
      <w:r w:rsidRPr="00567DD4">
        <w:rPr>
          <w:rFonts w:ascii="Garamond" w:hAnsi="Garamond" w:cs="Arial"/>
          <w:sz w:val="21"/>
          <w:szCs w:val="21"/>
          <w:lang w:val="en-US" w:eastAsia="pt-BR"/>
        </w:rPr>
        <w:t>EFFECTS OF PERCEIVING A CALLING: A STRUCTURAL MODEL</w:t>
      </w:r>
    </w:p>
    <w:p w14:paraId="14830BA5" w14:textId="77777777" w:rsidR="00D014F5" w:rsidRPr="00567DD4" w:rsidRDefault="00D014F5" w:rsidP="00005295">
      <w:pPr>
        <w:shd w:val="clear" w:color="auto" w:fill="FFFFFF"/>
        <w:spacing w:after="0"/>
        <w:jc w:val="right"/>
        <w:rPr>
          <w:rFonts w:ascii="Garamond" w:eastAsia="Times New Roman" w:hAnsi="Garamond" w:cs="Arial"/>
          <w:sz w:val="18"/>
          <w:szCs w:val="18"/>
          <w:lang w:val="en-US" w:eastAsia="pt-BR"/>
        </w:rPr>
      </w:pPr>
    </w:p>
    <w:p w14:paraId="4FB524CF" w14:textId="7A0C6702" w:rsidR="00567DD4" w:rsidRPr="00DA1635" w:rsidRDefault="00567DD4" w:rsidP="00567DD4">
      <w:pPr>
        <w:shd w:val="clear" w:color="auto" w:fill="FFFFFF"/>
        <w:spacing w:after="0"/>
        <w:jc w:val="right"/>
        <w:rPr>
          <w:rFonts w:ascii="Garamond" w:eastAsia="Times New Roman" w:hAnsi="Garamond" w:cs="Arial"/>
          <w:sz w:val="18"/>
          <w:szCs w:val="18"/>
          <w:lang w:eastAsia="pt-BR"/>
        </w:rPr>
      </w:pPr>
      <w:r w:rsidRPr="00DA1635">
        <w:rPr>
          <w:rFonts w:ascii="Garamond" w:eastAsia="Times New Roman" w:hAnsi="Garamond" w:cs="Arial"/>
          <w:sz w:val="18"/>
          <w:szCs w:val="18"/>
          <w:lang w:eastAsia="pt-BR"/>
        </w:rPr>
        <w:t xml:space="preserve">Recebido em </w:t>
      </w:r>
      <w:r w:rsidR="00E342B1">
        <w:rPr>
          <w:rFonts w:ascii="Garamond" w:eastAsia="Times New Roman" w:hAnsi="Garamond" w:cs="Arial"/>
          <w:sz w:val="18"/>
          <w:szCs w:val="18"/>
          <w:lang w:eastAsia="pt-BR"/>
        </w:rPr>
        <w:t>14</w:t>
      </w:r>
      <w:r w:rsidRPr="00DA1635">
        <w:rPr>
          <w:rFonts w:ascii="Garamond" w:eastAsia="Times New Roman" w:hAnsi="Garamond" w:cs="Arial"/>
          <w:sz w:val="18"/>
          <w:szCs w:val="18"/>
          <w:lang w:eastAsia="pt-BR"/>
        </w:rPr>
        <w:t>.</w:t>
      </w:r>
      <w:r w:rsidR="00E342B1">
        <w:rPr>
          <w:rFonts w:ascii="Garamond" w:eastAsia="Times New Roman" w:hAnsi="Garamond" w:cs="Arial"/>
          <w:sz w:val="18"/>
          <w:szCs w:val="18"/>
          <w:lang w:eastAsia="pt-BR"/>
        </w:rPr>
        <w:t>12</w:t>
      </w:r>
      <w:r w:rsidRPr="00DA1635">
        <w:rPr>
          <w:rFonts w:ascii="Garamond" w:eastAsia="Times New Roman" w:hAnsi="Garamond" w:cs="Arial"/>
          <w:sz w:val="18"/>
          <w:szCs w:val="18"/>
          <w:lang w:eastAsia="pt-BR"/>
        </w:rPr>
        <w:t xml:space="preserve">.2024 Aprovado em </w:t>
      </w:r>
      <w:r w:rsidR="00E342B1">
        <w:rPr>
          <w:rFonts w:ascii="Garamond" w:eastAsia="Times New Roman" w:hAnsi="Garamond" w:cs="Arial"/>
          <w:sz w:val="18"/>
          <w:szCs w:val="18"/>
          <w:lang w:eastAsia="pt-BR"/>
        </w:rPr>
        <w:t>0</w:t>
      </w:r>
      <w:r>
        <w:rPr>
          <w:rFonts w:ascii="Garamond" w:eastAsia="Times New Roman" w:hAnsi="Garamond" w:cs="Arial"/>
          <w:sz w:val="18"/>
          <w:szCs w:val="18"/>
          <w:lang w:eastAsia="pt-BR"/>
        </w:rPr>
        <w:t>9</w:t>
      </w:r>
      <w:r w:rsidRPr="00DA1635">
        <w:rPr>
          <w:rFonts w:ascii="Garamond" w:eastAsia="Times New Roman" w:hAnsi="Garamond" w:cs="Arial"/>
          <w:sz w:val="18"/>
          <w:szCs w:val="18"/>
          <w:lang w:eastAsia="pt-BR"/>
        </w:rPr>
        <w:t>.</w:t>
      </w:r>
      <w:r w:rsidR="00E342B1">
        <w:rPr>
          <w:rFonts w:ascii="Garamond" w:eastAsia="Times New Roman" w:hAnsi="Garamond" w:cs="Arial"/>
          <w:sz w:val="18"/>
          <w:szCs w:val="18"/>
          <w:lang w:eastAsia="pt-BR"/>
        </w:rPr>
        <w:t>1</w:t>
      </w:r>
      <w:r w:rsidRPr="00DA1635">
        <w:rPr>
          <w:rFonts w:ascii="Garamond" w:eastAsia="Times New Roman" w:hAnsi="Garamond" w:cs="Arial"/>
          <w:sz w:val="18"/>
          <w:szCs w:val="18"/>
          <w:lang w:eastAsia="pt-BR"/>
        </w:rPr>
        <w:t>0</w:t>
      </w:r>
      <w:r w:rsidR="00E342B1">
        <w:rPr>
          <w:rFonts w:ascii="Garamond" w:eastAsia="Times New Roman" w:hAnsi="Garamond" w:cs="Arial"/>
          <w:sz w:val="18"/>
          <w:szCs w:val="18"/>
          <w:lang w:eastAsia="pt-BR"/>
        </w:rPr>
        <w:t>.2</w:t>
      </w:r>
      <w:r w:rsidRPr="00DA1635">
        <w:rPr>
          <w:rFonts w:ascii="Garamond" w:eastAsia="Times New Roman" w:hAnsi="Garamond" w:cs="Arial"/>
          <w:sz w:val="18"/>
          <w:szCs w:val="18"/>
          <w:lang w:eastAsia="pt-BR"/>
        </w:rPr>
        <w:t>024</w:t>
      </w:r>
    </w:p>
    <w:p w14:paraId="7351E878" w14:textId="77777777" w:rsidR="00567DD4" w:rsidRPr="00DA1635" w:rsidRDefault="00567DD4" w:rsidP="00567DD4">
      <w:pPr>
        <w:shd w:val="clear" w:color="auto" w:fill="FFFFFF"/>
        <w:spacing w:after="0"/>
        <w:jc w:val="right"/>
        <w:rPr>
          <w:rFonts w:ascii="Garamond" w:eastAsia="Times New Roman" w:hAnsi="Garamond" w:cs="Arial"/>
          <w:sz w:val="18"/>
          <w:szCs w:val="18"/>
          <w:lang w:eastAsia="pt-BR"/>
        </w:rPr>
      </w:pPr>
      <w:r w:rsidRPr="00DA1635">
        <w:rPr>
          <w:rFonts w:ascii="Garamond" w:eastAsia="Times New Roman" w:hAnsi="Garamond" w:cs="Arial"/>
          <w:sz w:val="18"/>
          <w:szCs w:val="18"/>
          <w:lang w:eastAsia="pt-BR"/>
        </w:rPr>
        <w:t xml:space="preserve">Avaliado pelo sistema </w:t>
      </w:r>
      <w:proofErr w:type="spellStart"/>
      <w:r w:rsidRPr="00DA1635">
        <w:rPr>
          <w:rFonts w:ascii="Garamond" w:eastAsia="Times New Roman" w:hAnsi="Garamond" w:cs="Arial"/>
          <w:sz w:val="18"/>
          <w:szCs w:val="18"/>
          <w:lang w:eastAsia="pt-BR"/>
        </w:rPr>
        <w:t>double</w:t>
      </w:r>
      <w:proofErr w:type="spellEnd"/>
      <w:r w:rsidRPr="00DA1635">
        <w:rPr>
          <w:rFonts w:ascii="Garamond" w:eastAsia="Times New Roman" w:hAnsi="Garamond" w:cs="Arial"/>
          <w:sz w:val="18"/>
          <w:szCs w:val="18"/>
          <w:lang w:eastAsia="pt-BR"/>
        </w:rPr>
        <w:t xml:space="preserve"> </w:t>
      </w:r>
      <w:proofErr w:type="spellStart"/>
      <w:r w:rsidRPr="00DA1635">
        <w:rPr>
          <w:rFonts w:ascii="Garamond" w:eastAsia="Times New Roman" w:hAnsi="Garamond" w:cs="Arial"/>
          <w:sz w:val="18"/>
          <w:szCs w:val="18"/>
          <w:lang w:eastAsia="pt-BR"/>
        </w:rPr>
        <w:t>blind</w:t>
      </w:r>
      <w:proofErr w:type="spellEnd"/>
      <w:r w:rsidRPr="00DA1635">
        <w:rPr>
          <w:rFonts w:ascii="Garamond" w:eastAsia="Times New Roman" w:hAnsi="Garamond" w:cs="Arial"/>
          <w:sz w:val="18"/>
          <w:szCs w:val="18"/>
          <w:lang w:eastAsia="pt-BR"/>
        </w:rPr>
        <w:t xml:space="preserve"> review</w:t>
      </w:r>
    </w:p>
    <w:p w14:paraId="28504A8B" w14:textId="5DEAA910" w:rsidR="00567DD4" w:rsidRDefault="00567DD4" w:rsidP="00567DD4">
      <w:pPr>
        <w:shd w:val="clear" w:color="auto" w:fill="FFFFFF"/>
        <w:spacing w:after="0"/>
        <w:jc w:val="right"/>
        <w:rPr>
          <w:rStyle w:val="Hyperlink"/>
          <w:rFonts w:ascii="Garamond" w:eastAsia="Times New Roman" w:hAnsi="Garamond" w:cs="Arial"/>
          <w:sz w:val="18"/>
          <w:szCs w:val="18"/>
          <w:lang w:eastAsia="pt-BR"/>
        </w:rPr>
      </w:pPr>
      <w:r w:rsidRPr="00DA1635">
        <w:rPr>
          <w:rFonts w:ascii="Garamond" w:eastAsia="Times New Roman" w:hAnsi="Garamond" w:cs="Arial"/>
          <w:sz w:val="18"/>
          <w:szCs w:val="18"/>
          <w:lang w:eastAsia="pt-BR"/>
        </w:rPr>
        <w:t xml:space="preserve">DOI: </w:t>
      </w:r>
      <w:hyperlink r:id="rId8" w:history="1">
        <w:r w:rsidR="00E342B1" w:rsidRPr="000155B3">
          <w:rPr>
            <w:rStyle w:val="Hyperlink"/>
            <w:rFonts w:ascii="Garamond" w:eastAsia="Times New Roman" w:hAnsi="Garamond" w:cs="Arial"/>
            <w:sz w:val="18"/>
            <w:szCs w:val="18"/>
            <w:lang w:eastAsia="pt-BR"/>
          </w:rPr>
          <w:t>https://doi.org/10.12712/rpca.v18i3.62566</w:t>
        </w:r>
      </w:hyperlink>
    </w:p>
    <w:p w14:paraId="6E170B19" w14:textId="77777777" w:rsidR="00E342B1" w:rsidRDefault="00E342B1" w:rsidP="00567DD4">
      <w:pPr>
        <w:shd w:val="clear" w:color="auto" w:fill="FFFFFF"/>
        <w:spacing w:after="0"/>
        <w:jc w:val="right"/>
        <w:rPr>
          <w:rFonts w:ascii="Garamond" w:eastAsia="Times New Roman" w:hAnsi="Garamond" w:cs="Arial"/>
          <w:sz w:val="18"/>
          <w:szCs w:val="18"/>
          <w:lang w:eastAsia="pt-BR"/>
        </w:rPr>
      </w:pPr>
    </w:p>
    <w:p w14:paraId="6C7D11CE" w14:textId="2C76227D" w:rsidR="00262D55" w:rsidRPr="004F5E05" w:rsidRDefault="00DE0B27" w:rsidP="001177BB">
      <w:pPr>
        <w:autoSpaceDE w:val="0"/>
        <w:autoSpaceDN w:val="0"/>
        <w:adjustRightInd w:val="0"/>
        <w:spacing w:after="0"/>
        <w:rPr>
          <w:rFonts w:ascii="Garamond" w:hAnsi="Garamond" w:cs="Arial"/>
          <w:b/>
          <w:lang w:eastAsia="pt-BR"/>
        </w:rPr>
      </w:pPr>
      <w:proofErr w:type="spellStart"/>
      <w:r>
        <w:rPr>
          <w:rFonts w:ascii="Garamond" w:hAnsi="Garamond" w:cs="Arial"/>
          <w:b/>
          <w:lang w:eastAsia="pt-BR"/>
        </w:rPr>
        <w:t>Wellynton</w:t>
      </w:r>
      <w:proofErr w:type="spellEnd"/>
      <w:r>
        <w:rPr>
          <w:rFonts w:ascii="Garamond" w:hAnsi="Garamond" w:cs="Arial"/>
          <w:b/>
          <w:lang w:eastAsia="pt-BR"/>
        </w:rPr>
        <w:t xml:space="preserve"> Diniz</w:t>
      </w:r>
      <w:r w:rsidR="00D014F5" w:rsidRPr="004F5E05">
        <w:rPr>
          <w:rFonts w:ascii="Garamond" w:hAnsi="Garamond" w:cs="Arial"/>
          <w:b/>
          <w:lang w:eastAsia="pt-BR"/>
        </w:rPr>
        <w:t xml:space="preserve"> </w:t>
      </w:r>
    </w:p>
    <w:p w14:paraId="15210D8A" w14:textId="17C99567" w:rsidR="00D014F5" w:rsidRPr="004F5E05" w:rsidRDefault="000B7470" w:rsidP="0078109C">
      <w:pPr>
        <w:autoSpaceDE w:val="0"/>
        <w:autoSpaceDN w:val="0"/>
        <w:adjustRightInd w:val="0"/>
        <w:spacing w:after="0"/>
        <w:rPr>
          <w:rFonts w:ascii="Garamond" w:hAnsi="Garamond" w:cs="Arial"/>
          <w:sz w:val="22"/>
          <w:szCs w:val="22"/>
          <w:lang w:eastAsia="pt-BR"/>
        </w:rPr>
      </w:pPr>
      <w:hyperlink r:id="rId9" w:history="1">
        <w:r w:rsidRPr="000155B3">
          <w:rPr>
            <w:rStyle w:val="Hyperlink"/>
            <w:rFonts w:ascii="Garamond" w:hAnsi="Garamond" w:cs="Arial"/>
            <w:sz w:val="22"/>
            <w:szCs w:val="22"/>
            <w:lang w:eastAsia="pt-BR"/>
          </w:rPr>
          <w:t>wellyntondiniz@gmail.com</w:t>
        </w:r>
      </w:hyperlink>
      <w:r>
        <w:rPr>
          <w:rFonts w:ascii="Garamond" w:hAnsi="Garamond" w:cs="Arial"/>
          <w:sz w:val="22"/>
          <w:szCs w:val="22"/>
          <w:lang w:eastAsia="pt-BR"/>
        </w:rPr>
        <w:t xml:space="preserve"> </w:t>
      </w:r>
    </w:p>
    <w:p w14:paraId="647C0278" w14:textId="2C63969F" w:rsidR="009D7F0C" w:rsidRDefault="0000231A" w:rsidP="009D7F0C">
      <w:pPr>
        <w:autoSpaceDE w:val="0"/>
        <w:autoSpaceDN w:val="0"/>
        <w:adjustRightInd w:val="0"/>
        <w:spacing w:after="0"/>
        <w:rPr>
          <w:rFonts w:ascii="Garamond" w:hAnsi="Garamond" w:cs="Arial"/>
          <w:sz w:val="22"/>
          <w:szCs w:val="22"/>
          <w:lang w:eastAsia="pt-BR"/>
        </w:rPr>
      </w:pPr>
      <w:proofErr w:type="spellStart"/>
      <w:r w:rsidRPr="0000231A">
        <w:rPr>
          <w:rFonts w:ascii="Garamond" w:hAnsi="Garamond" w:cs="Arial"/>
          <w:sz w:val="22"/>
          <w:szCs w:val="22"/>
          <w:lang w:eastAsia="pt-BR"/>
        </w:rPr>
        <w:t>Fucape</w:t>
      </w:r>
      <w:proofErr w:type="spellEnd"/>
      <w:r w:rsidRPr="0000231A">
        <w:rPr>
          <w:rFonts w:ascii="Garamond" w:hAnsi="Garamond" w:cs="Arial"/>
          <w:sz w:val="22"/>
          <w:szCs w:val="22"/>
          <w:lang w:eastAsia="pt-BR"/>
        </w:rPr>
        <w:t xml:space="preserve"> Business </w:t>
      </w:r>
      <w:proofErr w:type="spellStart"/>
      <w:r w:rsidRPr="0000231A">
        <w:rPr>
          <w:rFonts w:ascii="Garamond" w:hAnsi="Garamond" w:cs="Arial"/>
          <w:sz w:val="22"/>
          <w:szCs w:val="22"/>
          <w:lang w:eastAsia="pt-BR"/>
        </w:rPr>
        <w:t>School</w:t>
      </w:r>
      <w:proofErr w:type="spellEnd"/>
      <w:r w:rsidRPr="0000231A">
        <w:rPr>
          <w:rFonts w:ascii="Garamond" w:hAnsi="Garamond" w:cs="Arial"/>
          <w:sz w:val="22"/>
          <w:szCs w:val="22"/>
          <w:lang w:eastAsia="pt-BR"/>
        </w:rPr>
        <w:t>/Departamento de Pós-graduação em Contabilidade e Administração, Vitória - ES, Brasil</w:t>
      </w:r>
    </w:p>
    <w:p w14:paraId="1DA38869" w14:textId="2077B354" w:rsidR="001E53C5" w:rsidRPr="00567DD4" w:rsidRDefault="009D7F0C" w:rsidP="009D7F0C">
      <w:pPr>
        <w:autoSpaceDE w:val="0"/>
        <w:autoSpaceDN w:val="0"/>
        <w:adjustRightInd w:val="0"/>
        <w:spacing w:after="0"/>
        <w:rPr>
          <w:rFonts w:ascii="Garamond" w:hAnsi="Garamond" w:cs="Arial"/>
          <w:sz w:val="22"/>
          <w:szCs w:val="22"/>
          <w:lang w:val="en-US" w:eastAsia="pt-BR"/>
        </w:rPr>
      </w:pPr>
      <w:r w:rsidRPr="00567DD4">
        <w:rPr>
          <w:rFonts w:ascii="Garamond" w:hAnsi="Garamond" w:cs="Arial"/>
          <w:sz w:val="22"/>
          <w:szCs w:val="22"/>
          <w:lang w:val="en-US" w:eastAsia="pt-BR"/>
        </w:rPr>
        <w:t>https://orcid.org/0000-0002-6268-1513</w:t>
      </w:r>
      <w:r w:rsidR="00D36E23" w:rsidRPr="00567DD4">
        <w:rPr>
          <w:rFonts w:ascii="Garamond" w:hAnsi="Garamond" w:cs="Arial"/>
          <w:sz w:val="22"/>
          <w:szCs w:val="22"/>
          <w:lang w:val="en-US" w:eastAsia="pt-BR"/>
        </w:rPr>
        <w:t xml:space="preserve"> </w:t>
      </w:r>
    </w:p>
    <w:p w14:paraId="6E38B6C0" w14:textId="77777777" w:rsidR="009D7F0C" w:rsidRPr="00567DD4" w:rsidRDefault="009D7F0C" w:rsidP="009D7F0C">
      <w:pPr>
        <w:autoSpaceDE w:val="0"/>
        <w:autoSpaceDN w:val="0"/>
        <w:adjustRightInd w:val="0"/>
        <w:spacing w:after="0"/>
        <w:rPr>
          <w:rFonts w:ascii="Garamond" w:hAnsi="Garamond" w:cs="Arial"/>
          <w:sz w:val="22"/>
          <w:szCs w:val="22"/>
          <w:lang w:val="en-US" w:eastAsia="pt-BR"/>
        </w:rPr>
      </w:pPr>
    </w:p>
    <w:p w14:paraId="25814F5A" w14:textId="6DA92B60" w:rsidR="00DE0B27" w:rsidRPr="00567DD4" w:rsidRDefault="0093710B" w:rsidP="00DE0B27">
      <w:pPr>
        <w:autoSpaceDE w:val="0"/>
        <w:autoSpaceDN w:val="0"/>
        <w:adjustRightInd w:val="0"/>
        <w:spacing w:after="0"/>
        <w:rPr>
          <w:rFonts w:ascii="Garamond" w:hAnsi="Garamond" w:cs="Arial"/>
          <w:b/>
          <w:lang w:val="en-US" w:eastAsia="pt-BR"/>
        </w:rPr>
      </w:pPr>
      <w:proofErr w:type="spellStart"/>
      <w:r w:rsidRPr="00567DD4">
        <w:rPr>
          <w:rFonts w:ascii="Garamond" w:hAnsi="Garamond" w:cs="Arial"/>
          <w:b/>
          <w:lang w:val="en-US" w:eastAsia="pt-BR"/>
        </w:rPr>
        <w:t>Rozélia</w:t>
      </w:r>
      <w:proofErr w:type="spellEnd"/>
      <w:r w:rsidRPr="00567DD4">
        <w:rPr>
          <w:rFonts w:ascii="Garamond" w:hAnsi="Garamond" w:cs="Arial"/>
          <w:b/>
          <w:lang w:val="en-US" w:eastAsia="pt-BR"/>
        </w:rPr>
        <w:t xml:space="preserve"> Laurett</w:t>
      </w:r>
      <w:r w:rsidR="00DE0B27" w:rsidRPr="00567DD4">
        <w:rPr>
          <w:rFonts w:ascii="Garamond" w:hAnsi="Garamond" w:cs="Arial"/>
          <w:b/>
          <w:lang w:val="en-US" w:eastAsia="pt-BR"/>
        </w:rPr>
        <w:t xml:space="preserve"> </w:t>
      </w:r>
    </w:p>
    <w:p w14:paraId="5133AC77" w14:textId="06C32B8D" w:rsidR="000E4CFF" w:rsidRPr="000B7470" w:rsidRDefault="000B7470" w:rsidP="00DE0B27">
      <w:pPr>
        <w:autoSpaceDE w:val="0"/>
        <w:autoSpaceDN w:val="0"/>
        <w:adjustRightInd w:val="0"/>
        <w:spacing w:after="0"/>
        <w:rPr>
          <w:rFonts w:ascii="Garamond" w:hAnsi="Garamond" w:cs="Arial"/>
          <w:sz w:val="22"/>
          <w:szCs w:val="22"/>
          <w:lang w:eastAsia="pt-BR"/>
        </w:rPr>
      </w:pPr>
      <w:hyperlink r:id="rId10" w:history="1">
        <w:r w:rsidRPr="000B7470">
          <w:rPr>
            <w:rStyle w:val="Hyperlink"/>
            <w:rFonts w:ascii="Garamond" w:hAnsi="Garamond" w:cs="Arial"/>
            <w:sz w:val="22"/>
            <w:szCs w:val="22"/>
            <w:lang w:eastAsia="pt-BR"/>
          </w:rPr>
          <w:t>rozelia@fucape.br</w:t>
        </w:r>
      </w:hyperlink>
      <w:r w:rsidRPr="000B7470">
        <w:rPr>
          <w:rFonts w:ascii="Garamond" w:hAnsi="Garamond" w:cs="Arial"/>
          <w:sz w:val="22"/>
          <w:szCs w:val="22"/>
          <w:lang w:eastAsia="pt-BR"/>
        </w:rPr>
        <w:t xml:space="preserve"> </w:t>
      </w:r>
    </w:p>
    <w:p w14:paraId="5CB9A3A1" w14:textId="315E9847" w:rsidR="009D7F0C" w:rsidRDefault="009D7F0C" w:rsidP="009D7F0C">
      <w:pPr>
        <w:autoSpaceDE w:val="0"/>
        <w:autoSpaceDN w:val="0"/>
        <w:adjustRightInd w:val="0"/>
        <w:spacing w:after="0"/>
        <w:rPr>
          <w:rFonts w:ascii="Garamond" w:hAnsi="Garamond" w:cs="Arial"/>
          <w:sz w:val="22"/>
          <w:szCs w:val="22"/>
          <w:lang w:eastAsia="pt-BR"/>
        </w:rPr>
      </w:pPr>
      <w:proofErr w:type="spellStart"/>
      <w:r w:rsidRPr="009D7F0C">
        <w:rPr>
          <w:rFonts w:ascii="Garamond" w:hAnsi="Garamond" w:cs="Arial"/>
          <w:sz w:val="22"/>
          <w:szCs w:val="22"/>
          <w:lang w:eastAsia="pt-BR"/>
        </w:rPr>
        <w:t>Fucape</w:t>
      </w:r>
      <w:proofErr w:type="spellEnd"/>
      <w:r w:rsidRPr="009D7F0C">
        <w:rPr>
          <w:rFonts w:ascii="Garamond" w:hAnsi="Garamond" w:cs="Arial"/>
          <w:sz w:val="22"/>
          <w:szCs w:val="22"/>
          <w:lang w:eastAsia="pt-BR"/>
        </w:rPr>
        <w:t xml:space="preserve"> Business </w:t>
      </w:r>
      <w:proofErr w:type="spellStart"/>
      <w:r w:rsidRPr="009D7F0C">
        <w:rPr>
          <w:rFonts w:ascii="Garamond" w:hAnsi="Garamond" w:cs="Arial"/>
          <w:sz w:val="22"/>
          <w:szCs w:val="22"/>
          <w:lang w:eastAsia="pt-BR"/>
        </w:rPr>
        <w:t>School</w:t>
      </w:r>
      <w:proofErr w:type="spellEnd"/>
      <w:r w:rsidRPr="009D7F0C">
        <w:rPr>
          <w:rFonts w:ascii="Garamond" w:hAnsi="Garamond" w:cs="Arial"/>
          <w:sz w:val="22"/>
          <w:szCs w:val="22"/>
          <w:lang w:eastAsia="pt-BR"/>
        </w:rPr>
        <w:t>/Departamento de Pós-graduação em Contabilidade e Administração, Vitória - ES, Brasil</w:t>
      </w:r>
    </w:p>
    <w:p w14:paraId="685E2FBD" w14:textId="48EF8D52" w:rsidR="00DE0B27" w:rsidRDefault="00B5483C" w:rsidP="009D7F0C">
      <w:pPr>
        <w:autoSpaceDE w:val="0"/>
        <w:autoSpaceDN w:val="0"/>
        <w:adjustRightInd w:val="0"/>
        <w:spacing w:after="0"/>
        <w:rPr>
          <w:rFonts w:ascii="Garamond" w:hAnsi="Garamond" w:cs="Arial"/>
          <w:sz w:val="22"/>
          <w:szCs w:val="22"/>
          <w:lang w:eastAsia="pt-BR"/>
        </w:rPr>
      </w:pPr>
      <w:r w:rsidRPr="00B5483C">
        <w:rPr>
          <w:rFonts w:ascii="Garamond" w:hAnsi="Garamond" w:cs="Arial"/>
          <w:sz w:val="22"/>
          <w:szCs w:val="22"/>
          <w:lang w:eastAsia="pt-BR"/>
        </w:rPr>
        <w:t>https://orcid.org/0000-0002-8546-3391</w:t>
      </w:r>
      <w:r w:rsidR="00DE0B27" w:rsidRPr="004F5E05">
        <w:rPr>
          <w:rFonts w:ascii="Garamond" w:hAnsi="Garamond" w:cs="Arial"/>
          <w:sz w:val="22"/>
          <w:szCs w:val="22"/>
          <w:lang w:eastAsia="pt-BR"/>
        </w:rPr>
        <w:t xml:space="preserve"> </w:t>
      </w:r>
    </w:p>
    <w:p w14:paraId="11ABE07F" w14:textId="77777777" w:rsidR="009D7F0C" w:rsidRPr="004F5E05" w:rsidRDefault="009D7F0C" w:rsidP="009D7F0C">
      <w:pPr>
        <w:autoSpaceDE w:val="0"/>
        <w:autoSpaceDN w:val="0"/>
        <w:adjustRightInd w:val="0"/>
        <w:spacing w:after="0"/>
        <w:rPr>
          <w:rFonts w:ascii="Garamond" w:hAnsi="Garamond" w:cs="Arial"/>
          <w:lang w:eastAsia="pt-BR"/>
        </w:rPr>
      </w:pPr>
    </w:p>
    <w:p w14:paraId="59F6B151" w14:textId="3AFFC954" w:rsidR="00DE0B27" w:rsidRPr="004F5E05" w:rsidRDefault="00D0151D" w:rsidP="00DE0B27">
      <w:pPr>
        <w:autoSpaceDE w:val="0"/>
        <w:autoSpaceDN w:val="0"/>
        <w:adjustRightInd w:val="0"/>
        <w:spacing w:after="0"/>
        <w:rPr>
          <w:rFonts w:ascii="Garamond" w:hAnsi="Garamond" w:cs="Arial"/>
          <w:b/>
          <w:lang w:eastAsia="pt-BR"/>
        </w:rPr>
      </w:pPr>
      <w:r w:rsidRPr="00D0151D">
        <w:rPr>
          <w:rFonts w:ascii="Garamond" w:hAnsi="Garamond" w:cs="Arial"/>
          <w:b/>
          <w:lang w:eastAsia="pt-BR"/>
        </w:rPr>
        <w:t>Bruno Felix</w:t>
      </w:r>
      <w:r w:rsidR="00DE0B27" w:rsidRPr="004F5E05">
        <w:rPr>
          <w:rFonts w:ascii="Garamond" w:hAnsi="Garamond" w:cs="Arial"/>
          <w:b/>
          <w:lang w:eastAsia="pt-BR"/>
        </w:rPr>
        <w:t xml:space="preserve"> </w:t>
      </w:r>
    </w:p>
    <w:p w14:paraId="0828CD70" w14:textId="08324281" w:rsidR="00586281" w:rsidRDefault="000B7470" w:rsidP="009D7F0C">
      <w:pPr>
        <w:autoSpaceDE w:val="0"/>
        <w:autoSpaceDN w:val="0"/>
        <w:adjustRightInd w:val="0"/>
        <w:spacing w:after="0"/>
        <w:rPr>
          <w:rFonts w:ascii="Garamond" w:hAnsi="Garamond" w:cs="Arial"/>
          <w:sz w:val="22"/>
          <w:szCs w:val="22"/>
          <w:lang w:eastAsia="pt-BR"/>
        </w:rPr>
      </w:pPr>
      <w:hyperlink r:id="rId11" w:history="1">
        <w:r w:rsidRPr="000155B3">
          <w:rPr>
            <w:rStyle w:val="Hyperlink"/>
            <w:rFonts w:ascii="Garamond" w:hAnsi="Garamond" w:cs="Arial"/>
            <w:sz w:val="22"/>
            <w:szCs w:val="22"/>
            <w:lang w:eastAsia="pt-BR"/>
          </w:rPr>
          <w:t>bfelix@fucape.br</w:t>
        </w:r>
      </w:hyperlink>
      <w:r>
        <w:rPr>
          <w:rFonts w:ascii="Garamond" w:hAnsi="Garamond" w:cs="Arial"/>
          <w:sz w:val="22"/>
          <w:szCs w:val="22"/>
          <w:lang w:eastAsia="pt-BR"/>
        </w:rPr>
        <w:t xml:space="preserve"> </w:t>
      </w:r>
    </w:p>
    <w:p w14:paraId="3F33AE9D" w14:textId="6CCAC6C9" w:rsidR="009D7F0C" w:rsidRDefault="009D7F0C" w:rsidP="009D7F0C">
      <w:pPr>
        <w:autoSpaceDE w:val="0"/>
        <w:autoSpaceDN w:val="0"/>
        <w:adjustRightInd w:val="0"/>
        <w:spacing w:after="0"/>
        <w:rPr>
          <w:rFonts w:ascii="Garamond" w:hAnsi="Garamond" w:cs="Arial"/>
          <w:sz w:val="22"/>
          <w:szCs w:val="22"/>
          <w:lang w:eastAsia="pt-BR"/>
        </w:rPr>
      </w:pPr>
      <w:proofErr w:type="spellStart"/>
      <w:r w:rsidRPr="009D7F0C">
        <w:rPr>
          <w:rFonts w:ascii="Garamond" w:hAnsi="Garamond" w:cs="Arial"/>
          <w:sz w:val="22"/>
          <w:szCs w:val="22"/>
          <w:lang w:eastAsia="pt-BR"/>
        </w:rPr>
        <w:t>Fucape</w:t>
      </w:r>
      <w:proofErr w:type="spellEnd"/>
      <w:r w:rsidRPr="009D7F0C">
        <w:rPr>
          <w:rFonts w:ascii="Garamond" w:hAnsi="Garamond" w:cs="Arial"/>
          <w:sz w:val="22"/>
          <w:szCs w:val="22"/>
          <w:lang w:eastAsia="pt-BR"/>
        </w:rPr>
        <w:t xml:space="preserve"> Business </w:t>
      </w:r>
      <w:proofErr w:type="spellStart"/>
      <w:r w:rsidRPr="009D7F0C">
        <w:rPr>
          <w:rFonts w:ascii="Garamond" w:hAnsi="Garamond" w:cs="Arial"/>
          <w:sz w:val="22"/>
          <w:szCs w:val="22"/>
          <w:lang w:eastAsia="pt-BR"/>
        </w:rPr>
        <w:t>School</w:t>
      </w:r>
      <w:proofErr w:type="spellEnd"/>
      <w:r w:rsidRPr="009D7F0C">
        <w:rPr>
          <w:rFonts w:ascii="Garamond" w:hAnsi="Garamond" w:cs="Arial"/>
          <w:sz w:val="22"/>
          <w:szCs w:val="22"/>
          <w:lang w:eastAsia="pt-BR"/>
        </w:rPr>
        <w:t>/Departamento de Pós-graduação em Contabilidade e Administração, Vitória - ES, Brasil</w:t>
      </w:r>
    </w:p>
    <w:p w14:paraId="70A3092F" w14:textId="43A13079" w:rsidR="00DE0B27" w:rsidRPr="004F5E05" w:rsidRDefault="00A84C05" w:rsidP="009D7F0C">
      <w:pPr>
        <w:autoSpaceDE w:val="0"/>
        <w:autoSpaceDN w:val="0"/>
        <w:adjustRightInd w:val="0"/>
        <w:spacing w:after="0"/>
        <w:rPr>
          <w:rFonts w:ascii="Garamond" w:hAnsi="Garamond" w:cs="Arial"/>
          <w:lang w:eastAsia="pt-BR"/>
        </w:rPr>
      </w:pPr>
      <w:r w:rsidRPr="00A84C05">
        <w:rPr>
          <w:rFonts w:ascii="Garamond" w:hAnsi="Garamond" w:cs="Arial"/>
          <w:sz w:val="22"/>
          <w:szCs w:val="22"/>
          <w:lang w:eastAsia="pt-BR"/>
        </w:rPr>
        <w:t>https://orcid.org/0000-0001-6183-009X</w:t>
      </w:r>
      <w:r w:rsidR="00DE0B27" w:rsidRPr="004F5E05">
        <w:rPr>
          <w:rFonts w:ascii="Garamond" w:hAnsi="Garamond" w:cs="Arial"/>
          <w:sz w:val="22"/>
          <w:szCs w:val="22"/>
          <w:lang w:eastAsia="pt-BR"/>
        </w:rPr>
        <w:t xml:space="preserve"> </w:t>
      </w:r>
    </w:p>
    <w:p w14:paraId="2A444C72" w14:textId="77777777" w:rsidR="00D014F5" w:rsidRPr="004F5E05" w:rsidRDefault="00D014F5" w:rsidP="001E53C5">
      <w:pPr>
        <w:autoSpaceDE w:val="0"/>
        <w:autoSpaceDN w:val="0"/>
        <w:adjustRightInd w:val="0"/>
        <w:spacing w:after="0"/>
        <w:jc w:val="both"/>
        <w:rPr>
          <w:rFonts w:ascii="Garamond" w:hAnsi="Garamond"/>
          <w:b/>
          <w:lang w:eastAsia="pt-BR"/>
        </w:rPr>
      </w:pPr>
    </w:p>
    <w:p w14:paraId="193583C3" w14:textId="6ACC1FDB" w:rsidR="001E53C5" w:rsidRPr="004F5E05" w:rsidRDefault="001E53C5" w:rsidP="001E53C5">
      <w:pPr>
        <w:autoSpaceDE w:val="0"/>
        <w:autoSpaceDN w:val="0"/>
        <w:adjustRightInd w:val="0"/>
        <w:spacing w:after="0"/>
        <w:jc w:val="both"/>
        <w:rPr>
          <w:rFonts w:ascii="Garamond" w:hAnsi="Garamond"/>
          <w:b/>
          <w:lang w:eastAsia="pt-BR"/>
        </w:rPr>
      </w:pPr>
      <w:r w:rsidRPr="004F5E05">
        <w:rPr>
          <w:rFonts w:ascii="Garamond" w:hAnsi="Garamond"/>
          <w:b/>
          <w:lang w:eastAsia="pt-BR"/>
        </w:rPr>
        <w:t>Resumo</w:t>
      </w:r>
      <w:r w:rsidR="00D014F5" w:rsidRPr="004F5E05">
        <w:rPr>
          <w:rFonts w:ascii="Garamond" w:hAnsi="Garamond"/>
          <w:b/>
          <w:lang w:eastAsia="pt-BR"/>
        </w:rPr>
        <w:t xml:space="preserve"> </w:t>
      </w:r>
    </w:p>
    <w:p w14:paraId="350C9B38" w14:textId="77777777" w:rsidR="00D014F5" w:rsidRPr="004F5E05" w:rsidRDefault="00D014F5" w:rsidP="001E53C5">
      <w:pPr>
        <w:autoSpaceDE w:val="0"/>
        <w:autoSpaceDN w:val="0"/>
        <w:adjustRightInd w:val="0"/>
        <w:spacing w:after="0"/>
        <w:jc w:val="both"/>
        <w:rPr>
          <w:rFonts w:ascii="Garamond" w:hAnsi="Garamond"/>
        </w:rPr>
      </w:pPr>
    </w:p>
    <w:p w14:paraId="3FAB82D8" w14:textId="08394445" w:rsidR="00D014F5" w:rsidRPr="004F5E05" w:rsidRDefault="008E4070" w:rsidP="001E53C5">
      <w:pPr>
        <w:autoSpaceDE w:val="0"/>
        <w:autoSpaceDN w:val="0"/>
        <w:adjustRightInd w:val="0"/>
        <w:spacing w:after="0"/>
        <w:jc w:val="both"/>
        <w:rPr>
          <w:rFonts w:ascii="Garamond" w:hAnsi="Garamond"/>
        </w:rPr>
      </w:pPr>
      <w:r w:rsidRPr="008E4070">
        <w:rPr>
          <w:rFonts w:ascii="Garamond" w:hAnsi="Garamond"/>
        </w:rPr>
        <w:t>Este estudo analisou o papel moderador da vivência de um chamado nas relações diretas entre perceber um chamado e satisfação no trabalho, satisfação com a vida, significado da vida, bem-estar existencial e compromisso com a carreira. A metodologia utilizada foi à quantitativa e descritiva. Os dados foram estimados por modelagem de equações estruturais (MEE). Os resultados demonstraram que somente a relação direta entre perceber um chamado e significado da vida foi suportada. Já no efeito da moderação de viver um chamado nas relações entre perceber um chamado com satisfação no trabalho, satisfação com a vida e bem-estar existencial foram suportadas</w:t>
      </w:r>
      <w:r w:rsidR="00D014F5" w:rsidRPr="004F5E05">
        <w:rPr>
          <w:rFonts w:ascii="Garamond" w:hAnsi="Garamond"/>
        </w:rPr>
        <w:t xml:space="preserve">. </w:t>
      </w:r>
    </w:p>
    <w:p w14:paraId="49DE04DD" w14:textId="3F33B6F9" w:rsidR="00315FE6" w:rsidRPr="004F5E05" w:rsidRDefault="001E53C5" w:rsidP="001E53C5">
      <w:pPr>
        <w:autoSpaceDE w:val="0"/>
        <w:autoSpaceDN w:val="0"/>
        <w:adjustRightInd w:val="0"/>
        <w:spacing w:after="0"/>
        <w:jc w:val="both"/>
        <w:rPr>
          <w:rFonts w:ascii="Garamond" w:hAnsi="Garamond"/>
        </w:rPr>
      </w:pPr>
      <w:r w:rsidRPr="004F5E05">
        <w:rPr>
          <w:rFonts w:ascii="Garamond" w:hAnsi="Garamond"/>
          <w:b/>
          <w:lang w:eastAsia="pt-BR"/>
        </w:rPr>
        <w:t>Palavras-chave</w:t>
      </w:r>
      <w:r w:rsidR="00B70BD9" w:rsidRPr="004F5E05">
        <w:rPr>
          <w:rFonts w:ascii="Garamond" w:hAnsi="Garamond"/>
        </w:rPr>
        <w:t xml:space="preserve">: </w:t>
      </w:r>
      <w:r w:rsidR="00012F3B" w:rsidRPr="00012F3B">
        <w:rPr>
          <w:rFonts w:ascii="Garamond" w:hAnsi="Garamond"/>
        </w:rPr>
        <w:t>Carreira profissional</w:t>
      </w:r>
      <w:r w:rsidR="00012F3B">
        <w:rPr>
          <w:rFonts w:ascii="Garamond" w:hAnsi="Garamond"/>
        </w:rPr>
        <w:t>.</w:t>
      </w:r>
      <w:r w:rsidR="00012F3B" w:rsidRPr="00012F3B">
        <w:rPr>
          <w:rFonts w:ascii="Garamond" w:hAnsi="Garamond"/>
        </w:rPr>
        <w:t xml:space="preserve"> Perceber um chamado</w:t>
      </w:r>
      <w:r w:rsidR="00012F3B">
        <w:rPr>
          <w:rFonts w:ascii="Garamond" w:hAnsi="Garamond"/>
        </w:rPr>
        <w:t>.</w:t>
      </w:r>
      <w:r w:rsidR="00012F3B" w:rsidRPr="00012F3B">
        <w:rPr>
          <w:rFonts w:ascii="Garamond" w:hAnsi="Garamond"/>
        </w:rPr>
        <w:t xml:space="preserve"> Viver um chamado</w:t>
      </w:r>
      <w:r w:rsidR="00012F3B">
        <w:rPr>
          <w:rFonts w:ascii="Garamond" w:hAnsi="Garamond"/>
        </w:rPr>
        <w:t>.</w:t>
      </w:r>
      <w:r w:rsidR="00012F3B" w:rsidRPr="00012F3B">
        <w:rPr>
          <w:rFonts w:ascii="Garamond" w:hAnsi="Garamond"/>
        </w:rPr>
        <w:t xml:space="preserve"> Chamado ocupacional.</w:t>
      </w:r>
      <w:r w:rsidR="00B70BD9" w:rsidRPr="004F5E05">
        <w:rPr>
          <w:rFonts w:ascii="Garamond" w:hAnsi="Garamond"/>
        </w:rPr>
        <w:t xml:space="preserve"> </w:t>
      </w:r>
    </w:p>
    <w:p w14:paraId="656D7989" w14:textId="77777777" w:rsidR="00707DAF" w:rsidRPr="004F5E05" w:rsidRDefault="00707DAF" w:rsidP="001E53C5">
      <w:pPr>
        <w:autoSpaceDE w:val="0"/>
        <w:autoSpaceDN w:val="0"/>
        <w:adjustRightInd w:val="0"/>
        <w:spacing w:after="0"/>
        <w:jc w:val="both"/>
        <w:rPr>
          <w:rFonts w:ascii="Garamond" w:hAnsi="Garamond"/>
          <w:b/>
          <w:lang w:eastAsia="pt-BR"/>
        </w:rPr>
      </w:pPr>
    </w:p>
    <w:p w14:paraId="33DC6226" w14:textId="77777777" w:rsidR="00BE441F" w:rsidRPr="004F5E05" w:rsidRDefault="00BE441F" w:rsidP="009F6351">
      <w:pPr>
        <w:autoSpaceDE w:val="0"/>
        <w:autoSpaceDN w:val="0"/>
        <w:adjustRightInd w:val="0"/>
        <w:spacing w:after="0"/>
        <w:jc w:val="both"/>
        <w:rPr>
          <w:rFonts w:ascii="Garamond" w:hAnsi="Garamond"/>
          <w:b/>
          <w:lang w:eastAsia="pt-BR"/>
        </w:rPr>
      </w:pPr>
    </w:p>
    <w:p w14:paraId="28AE1C6E" w14:textId="77777777" w:rsidR="00BE441F" w:rsidRPr="004F5E05" w:rsidRDefault="00BE441F" w:rsidP="009F6351">
      <w:pPr>
        <w:autoSpaceDE w:val="0"/>
        <w:autoSpaceDN w:val="0"/>
        <w:adjustRightInd w:val="0"/>
        <w:spacing w:after="0"/>
        <w:jc w:val="both"/>
        <w:rPr>
          <w:rFonts w:ascii="Garamond" w:hAnsi="Garamond"/>
          <w:b/>
          <w:lang w:eastAsia="pt-BR"/>
        </w:rPr>
      </w:pPr>
    </w:p>
    <w:p w14:paraId="3A856C85" w14:textId="71D8EDE1" w:rsidR="009F6351" w:rsidRPr="00567DD4" w:rsidRDefault="006A6B94" w:rsidP="009F6351">
      <w:pPr>
        <w:autoSpaceDE w:val="0"/>
        <w:autoSpaceDN w:val="0"/>
        <w:adjustRightInd w:val="0"/>
        <w:spacing w:after="0"/>
        <w:jc w:val="both"/>
        <w:rPr>
          <w:rFonts w:ascii="Garamond" w:hAnsi="Garamond"/>
          <w:b/>
          <w:lang w:val="en-US" w:eastAsia="pt-BR"/>
        </w:rPr>
      </w:pPr>
      <w:r w:rsidRPr="00567DD4">
        <w:rPr>
          <w:rFonts w:ascii="Garamond" w:hAnsi="Garamond"/>
          <w:b/>
          <w:lang w:val="en-US" w:eastAsia="pt-BR"/>
        </w:rPr>
        <w:t>Abstract</w:t>
      </w:r>
    </w:p>
    <w:p w14:paraId="2BA10BE0" w14:textId="77777777" w:rsidR="00D0605A" w:rsidRPr="00567DD4" w:rsidRDefault="00D0605A" w:rsidP="009F6351">
      <w:pPr>
        <w:autoSpaceDE w:val="0"/>
        <w:autoSpaceDN w:val="0"/>
        <w:adjustRightInd w:val="0"/>
        <w:spacing w:after="0"/>
        <w:jc w:val="both"/>
        <w:rPr>
          <w:rFonts w:ascii="Garamond" w:hAnsi="Garamond"/>
          <w:lang w:val="en-US"/>
        </w:rPr>
      </w:pPr>
    </w:p>
    <w:p w14:paraId="5C5156E2" w14:textId="66CEFAEA" w:rsidR="009F6351" w:rsidRPr="00567DD4" w:rsidRDefault="007819B8" w:rsidP="009F6351">
      <w:pPr>
        <w:autoSpaceDE w:val="0"/>
        <w:autoSpaceDN w:val="0"/>
        <w:adjustRightInd w:val="0"/>
        <w:spacing w:after="0"/>
        <w:jc w:val="both"/>
        <w:rPr>
          <w:rFonts w:ascii="Garamond" w:hAnsi="Garamond"/>
          <w:lang w:val="en-US"/>
        </w:rPr>
      </w:pPr>
      <w:r w:rsidRPr="00567DD4">
        <w:rPr>
          <w:rFonts w:ascii="Garamond" w:hAnsi="Garamond"/>
          <w:lang w:val="en-US"/>
        </w:rPr>
        <w:t xml:space="preserve">This study analyzed the moderating role of experiencing </w:t>
      </w:r>
      <w:r w:rsidR="00E342B1" w:rsidRPr="00567DD4">
        <w:rPr>
          <w:rFonts w:ascii="Garamond" w:hAnsi="Garamond"/>
          <w:lang w:val="en-US"/>
        </w:rPr>
        <w:t>calling</w:t>
      </w:r>
      <w:r w:rsidRPr="00567DD4">
        <w:rPr>
          <w:rFonts w:ascii="Garamond" w:hAnsi="Garamond"/>
          <w:lang w:val="en-US"/>
        </w:rPr>
        <w:t xml:space="preserve"> in the direct relationships between perceiving a calling and job satisfaction, life satisfaction, meaning in life, existential well-being, and career commitment. The methodology used was quantitative and descriptive. The data were estimated through Structural Equation Modeling (SEM). The results demonstrated that only the direct relationship between perceiving a calling and meaning in life was supported. However, the moderating effect of experiencing a calling on the relationships between perceiving a calling and job satisfaction, life satisfaction, and existential well-being was supported.</w:t>
      </w:r>
      <w:r w:rsidR="009F6351" w:rsidRPr="00567DD4">
        <w:rPr>
          <w:rFonts w:ascii="Garamond" w:hAnsi="Garamond"/>
          <w:lang w:val="en-US"/>
        </w:rPr>
        <w:t xml:space="preserve"> </w:t>
      </w:r>
    </w:p>
    <w:p w14:paraId="1C3DD545" w14:textId="4244879C" w:rsidR="009F6351" w:rsidRPr="00567DD4" w:rsidRDefault="00943681" w:rsidP="009F6351">
      <w:pPr>
        <w:autoSpaceDE w:val="0"/>
        <w:autoSpaceDN w:val="0"/>
        <w:adjustRightInd w:val="0"/>
        <w:spacing w:after="0"/>
        <w:jc w:val="both"/>
        <w:rPr>
          <w:rFonts w:ascii="Garamond" w:hAnsi="Garamond"/>
          <w:lang w:val="en-US"/>
        </w:rPr>
      </w:pPr>
      <w:r w:rsidRPr="00567DD4">
        <w:rPr>
          <w:rFonts w:ascii="Garamond" w:hAnsi="Garamond"/>
          <w:b/>
          <w:lang w:val="en-US" w:eastAsia="pt-BR"/>
        </w:rPr>
        <w:t>Keywords</w:t>
      </w:r>
      <w:r w:rsidRPr="00567DD4">
        <w:rPr>
          <w:rFonts w:ascii="Garamond" w:hAnsi="Garamond"/>
          <w:lang w:val="en-US" w:eastAsia="pt-BR"/>
        </w:rPr>
        <w:t xml:space="preserve">: </w:t>
      </w:r>
      <w:r w:rsidR="00DE0B27" w:rsidRPr="00567DD4">
        <w:rPr>
          <w:rFonts w:ascii="Garamond" w:hAnsi="Garamond"/>
          <w:lang w:val="en-US"/>
        </w:rPr>
        <w:t>Professional Career. Perceiving a Calling. Living a Calling. Occupational calling.</w:t>
      </w:r>
    </w:p>
    <w:p w14:paraId="0B2B725D" w14:textId="77777777" w:rsidR="00315FE6" w:rsidRPr="00567DD4" w:rsidRDefault="00315FE6" w:rsidP="001E53C5">
      <w:pPr>
        <w:autoSpaceDE w:val="0"/>
        <w:autoSpaceDN w:val="0"/>
        <w:adjustRightInd w:val="0"/>
        <w:spacing w:after="0"/>
        <w:jc w:val="both"/>
        <w:rPr>
          <w:rFonts w:ascii="Garamond" w:hAnsi="Garamond"/>
          <w:lang w:val="en-US" w:eastAsia="pt-BR"/>
        </w:rPr>
      </w:pPr>
    </w:p>
    <w:p w14:paraId="1CCF1967" w14:textId="77777777" w:rsidR="00315FE6" w:rsidRPr="004F5E05" w:rsidRDefault="001177BB" w:rsidP="0083304C">
      <w:pPr>
        <w:rPr>
          <w:rFonts w:ascii="Garamond" w:hAnsi="Garamond"/>
          <w:b/>
          <w:sz w:val="28"/>
          <w:szCs w:val="28"/>
          <w:lang w:eastAsia="pt-BR"/>
        </w:rPr>
      </w:pPr>
      <w:r w:rsidRPr="00E342B1">
        <w:rPr>
          <w:rFonts w:ascii="Garamond" w:hAnsi="Garamond"/>
          <w:b/>
          <w:lang w:eastAsia="pt-BR"/>
        </w:rPr>
        <w:br w:type="page"/>
      </w:r>
      <w:r w:rsidR="00C1595E" w:rsidRPr="004F5E05">
        <w:rPr>
          <w:rFonts w:ascii="Garamond" w:hAnsi="Garamond"/>
          <w:b/>
          <w:sz w:val="28"/>
          <w:szCs w:val="28"/>
          <w:lang w:eastAsia="pt-BR"/>
        </w:rPr>
        <w:lastRenderedPageBreak/>
        <w:t>Introdução</w:t>
      </w:r>
    </w:p>
    <w:p w14:paraId="22DDB9D2" w14:textId="4D68EB68" w:rsidR="00E02F46" w:rsidRPr="00E02F46" w:rsidRDefault="00E02F46" w:rsidP="00E02F46">
      <w:pPr>
        <w:autoSpaceDE w:val="0"/>
        <w:autoSpaceDN w:val="0"/>
        <w:adjustRightInd w:val="0"/>
        <w:jc w:val="both"/>
        <w:rPr>
          <w:rFonts w:ascii="Garamond" w:eastAsia="Times New Roman" w:hAnsi="Garamond"/>
          <w:lang w:eastAsia="pt-BR"/>
        </w:rPr>
      </w:pPr>
      <w:r w:rsidRPr="00E02F46">
        <w:rPr>
          <w:rFonts w:ascii="Garamond" w:eastAsia="Times New Roman" w:hAnsi="Garamond"/>
          <w:lang w:eastAsia="pt-BR"/>
        </w:rPr>
        <w:t>Dentre as discussões contemporâneas a respeito de como indivíduos atribuem significados ao trabalho (Duffy et al., 2014; Reed et al., 2022; Soares et al., 2023), encontram-se a perspectiva dos chamados ocupacionais (</w:t>
      </w:r>
      <w:proofErr w:type="spellStart"/>
      <w:r w:rsidRPr="00E02F46">
        <w:rPr>
          <w:rFonts w:ascii="Garamond" w:eastAsia="Times New Roman" w:hAnsi="Garamond"/>
          <w:lang w:eastAsia="pt-BR"/>
        </w:rPr>
        <w:t>Hirschi</w:t>
      </w:r>
      <w:proofErr w:type="spellEnd"/>
      <w:r w:rsidRPr="00E02F46">
        <w:rPr>
          <w:rFonts w:ascii="Garamond" w:eastAsia="Times New Roman" w:hAnsi="Garamond"/>
          <w:lang w:eastAsia="pt-BR"/>
        </w:rPr>
        <w:t xml:space="preserve"> et al., 2018; </w:t>
      </w:r>
      <w:proofErr w:type="spellStart"/>
      <w:r w:rsidRPr="00E02F46">
        <w:rPr>
          <w:rFonts w:ascii="Garamond" w:eastAsia="Times New Roman" w:hAnsi="Garamond"/>
          <w:lang w:eastAsia="pt-BR"/>
        </w:rPr>
        <w:t>Afsar</w:t>
      </w:r>
      <w:proofErr w:type="spellEnd"/>
      <w:r w:rsidRPr="00E02F46">
        <w:rPr>
          <w:rFonts w:ascii="Garamond" w:eastAsia="Times New Roman" w:hAnsi="Garamond"/>
          <w:lang w:eastAsia="pt-BR"/>
        </w:rPr>
        <w:t xml:space="preserve"> et al., 2019; </w:t>
      </w:r>
      <w:proofErr w:type="spellStart"/>
      <w:r w:rsidRPr="00E02F46">
        <w:rPr>
          <w:rFonts w:ascii="Garamond" w:eastAsia="Times New Roman" w:hAnsi="Garamond"/>
          <w:lang w:eastAsia="pt-BR"/>
        </w:rPr>
        <w:t>Dik</w:t>
      </w:r>
      <w:proofErr w:type="spellEnd"/>
      <w:r w:rsidRPr="00E02F46">
        <w:rPr>
          <w:rFonts w:ascii="Garamond" w:eastAsia="Times New Roman" w:hAnsi="Garamond"/>
          <w:lang w:eastAsia="pt-BR"/>
        </w:rPr>
        <w:t xml:space="preserve"> &amp; Duffy, 2009; Duffy et al., 2022), uma temática que ganhado espaço na literatura de gestão de pessoas e de carreiras (Reed et al., 2022; </w:t>
      </w:r>
      <w:proofErr w:type="spellStart"/>
      <w:r w:rsidRPr="00E02F46">
        <w:rPr>
          <w:rFonts w:ascii="Garamond" w:eastAsia="Times New Roman" w:hAnsi="Garamond"/>
          <w:lang w:eastAsia="pt-BR"/>
        </w:rPr>
        <w:t>Blulm</w:t>
      </w:r>
      <w:proofErr w:type="spellEnd"/>
      <w:r w:rsidRPr="00E02F46">
        <w:rPr>
          <w:rFonts w:ascii="Garamond" w:eastAsia="Times New Roman" w:hAnsi="Garamond"/>
          <w:lang w:eastAsia="pt-BR"/>
        </w:rPr>
        <w:t xml:space="preserve"> &amp; </w:t>
      </w:r>
      <w:proofErr w:type="spellStart"/>
      <w:r w:rsidRPr="00E02F46">
        <w:rPr>
          <w:rFonts w:ascii="Garamond" w:eastAsia="Times New Roman" w:hAnsi="Garamond"/>
          <w:lang w:eastAsia="pt-BR"/>
        </w:rPr>
        <w:t>Lacruz</w:t>
      </w:r>
      <w:proofErr w:type="spellEnd"/>
      <w:r w:rsidRPr="00E02F46">
        <w:rPr>
          <w:rFonts w:ascii="Garamond" w:eastAsia="Times New Roman" w:hAnsi="Garamond"/>
          <w:lang w:eastAsia="pt-BR"/>
        </w:rPr>
        <w:t>, 2022; Duffy et al., 2022). Um dos exemplos contemporâneos do apelo popular para esta ideia se encontra no slogan da empresa americana de recolocação profissional chamada Monster, que contém os seguintes dizeres: “Seu chamado está chamando” (“</w:t>
      </w:r>
      <w:proofErr w:type="spellStart"/>
      <w:r w:rsidRPr="00E02F46">
        <w:rPr>
          <w:rFonts w:ascii="Garamond" w:eastAsia="Times New Roman" w:hAnsi="Garamond"/>
          <w:i/>
          <w:iCs/>
          <w:lang w:eastAsia="pt-BR"/>
        </w:rPr>
        <w:t>Your</w:t>
      </w:r>
      <w:proofErr w:type="spellEnd"/>
      <w:r w:rsidRPr="00E02F46">
        <w:rPr>
          <w:rFonts w:ascii="Garamond" w:eastAsia="Times New Roman" w:hAnsi="Garamond"/>
          <w:i/>
          <w:iCs/>
          <w:lang w:eastAsia="pt-BR"/>
        </w:rPr>
        <w:t xml:space="preserve"> </w:t>
      </w:r>
      <w:proofErr w:type="spellStart"/>
      <w:r w:rsidRPr="00E02F46">
        <w:rPr>
          <w:rFonts w:ascii="Garamond" w:eastAsia="Times New Roman" w:hAnsi="Garamond"/>
          <w:i/>
          <w:iCs/>
          <w:lang w:eastAsia="pt-BR"/>
        </w:rPr>
        <w:t>calling</w:t>
      </w:r>
      <w:proofErr w:type="spellEnd"/>
      <w:r w:rsidRPr="00E02F46">
        <w:rPr>
          <w:rFonts w:ascii="Garamond" w:eastAsia="Times New Roman" w:hAnsi="Garamond"/>
          <w:i/>
          <w:iCs/>
          <w:lang w:eastAsia="pt-BR"/>
        </w:rPr>
        <w:t xml:space="preserve"> </w:t>
      </w:r>
      <w:proofErr w:type="spellStart"/>
      <w:r w:rsidRPr="00E02F46">
        <w:rPr>
          <w:rFonts w:ascii="Garamond" w:eastAsia="Times New Roman" w:hAnsi="Garamond"/>
          <w:i/>
          <w:iCs/>
          <w:lang w:eastAsia="pt-BR"/>
        </w:rPr>
        <w:t>is</w:t>
      </w:r>
      <w:proofErr w:type="spellEnd"/>
      <w:r w:rsidRPr="00E02F46">
        <w:rPr>
          <w:rFonts w:ascii="Garamond" w:eastAsia="Times New Roman" w:hAnsi="Garamond"/>
          <w:i/>
          <w:iCs/>
          <w:lang w:eastAsia="pt-BR"/>
        </w:rPr>
        <w:t xml:space="preserve"> </w:t>
      </w:r>
      <w:proofErr w:type="spellStart"/>
      <w:r w:rsidRPr="00E02F46">
        <w:rPr>
          <w:rFonts w:ascii="Garamond" w:eastAsia="Times New Roman" w:hAnsi="Garamond"/>
          <w:i/>
          <w:iCs/>
          <w:lang w:eastAsia="pt-BR"/>
        </w:rPr>
        <w:t>calling</w:t>
      </w:r>
      <w:proofErr w:type="spellEnd"/>
      <w:r w:rsidRPr="00E02F46">
        <w:rPr>
          <w:rFonts w:ascii="Garamond" w:eastAsia="Times New Roman" w:hAnsi="Garamond"/>
          <w:lang w:eastAsia="pt-BR"/>
        </w:rPr>
        <w:t>”) (</w:t>
      </w:r>
      <w:proofErr w:type="spellStart"/>
      <w:r w:rsidRPr="00E02F46">
        <w:rPr>
          <w:rFonts w:ascii="Garamond" w:eastAsia="Times New Roman" w:hAnsi="Garamond"/>
          <w:lang w:eastAsia="pt-BR"/>
        </w:rPr>
        <w:t>Michaelson</w:t>
      </w:r>
      <w:proofErr w:type="spellEnd"/>
      <w:r w:rsidRPr="00E02F46">
        <w:rPr>
          <w:rFonts w:ascii="Garamond" w:eastAsia="Times New Roman" w:hAnsi="Garamond"/>
          <w:lang w:eastAsia="pt-BR"/>
        </w:rPr>
        <w:t xml:space="preserve"> &amp; Tosti-</w:t>
      </w:r>
      <w:proofErr w:type="spellStart"/>
      <w:r w:rsidRPr="00E02F46">
        <w:rPr>
          <w:rFonts w:ascii="Garamond" w:eastAsia="Times New Roman" w:hAnsi="Garamond"/>
          <w:lang w:eastAsia="pt-BR"/>
        </w:rPr>
        <w:t>Kharas</w:t>
      </w:r>
      <w:proofErr w:type="spellEnd"/>
      <w:r w:rsidRPr="00E02F46">
        <w:rPr>
          <w:rFonts w:ascii="Garamond" w:eastAsia="Times New Roman" w:hAnsi="Garamond"/>
          <w:lang w:eastAsia="pt-BR"/>
        </w:rPr>
        <w:t xml:space="preserve">, 2019). </w:t>
      </w:r>
    </w:p>
    <w:p w14:paraId="2F2E6E7A" w14:textId="77777777" w:rsidR="00E02F46" w:rsidRPr="00E02F46" w:rsidRDefault="00E02F46" w:rsidP="00E02F46">
      <w:pPr>
        <w:autoSpaceDE w:val="0"/>
        <w:autoSpaceDN w:val="0"/>
        <w:adjustRightInd w:val="0"/>
        <w:jc w:val="both"/>
        <w:rPr>
          <w:rFonts w:ascii="Garamond" w:eastAsia="Times New Roman" w:hAnsi="Garamond"/>
          <w:lang w:eastAsia="pt-BR"/>
        </w:rPr>
      </w:pPr>
      <w:r w:rsidRPr="00E02F46">
        <w:rPr>
          <w:rFonts w:ascii="Garamond" w:eastAsia="Times New Roman" w:hAnsi="Garamond"/>
          <w:lang w:eastAsia="pt-BR"/>
        </w:rPr>
        <w:t>Assim, este apelo mercadológico reflete um desejo de diversos trabalhadores de construir uma carreira para a qual se sintam chamados. Embora o termo “chamado ocupacional” tenha origem no contexto vocacional religioso (</w:t>
      </w:r>
      <w:proofErr w:type="spellStart"/>
      <w:r w:rsidRPr="00E02F46">
        <w:rPr>
          <w:rFonts w:ascii="Garamond" w:eastAsia="Times New Roman" w:hAnsi="Garamond"/>
          <w:lang w:eastAsia="pt-BR"/>
        </w:rPr>
        <w:t>Steger</w:t>
      </w:r>
      <w:proofErr w:type="spellEnd"/>
      <w:r w:rsidRPr="00E02F46">
        <w:rPr>
          <w:rFonts w:ascii="Garamond" w:eastAsia="Times New Roman" w:hAnsi="Garamond"/>
          <w:lang w:eastAsia="pt-BR"/>
        </w:rPr>
        <w:t xml:space="preserve"> et al., 2010), tem sido utilizado em meios seculares e pode ser definido como “uma abordagem em relação ao trabalho que reflete uma busca por um senso de propósito e significado usado para ajudar outras pessoas ou contribuir para um bem comum, motivada por demandas internas ou externas” (Duffy et al., 2018, p. 426).</w:t>
      </w:r>
    </w:p>
    <w:p w14:paraId="23511936" w14:textId="7FF6AA6B" w:rsidR="00E02F46" w:rsidRPr="00E02F46" w:rsidRDefault="00E02F46" w:rsidP="00E02F46">
      <w:pPr>
        <w:autoSpaceDE w:val="0"/>
        <w:autoSpaceDN w:val="0"/>
        <w:adjustRightInd w:val="0"/>
        <w:jc w:val="both"/>
        <w:rPr>
          <w:rFonts w:ascii="Garamond" w:eastAsia="Times New Roman" w:hAnsi="Garamond"/>
          <w:lang w:eastAsia="pt-BR"/>
        </w:rPr>
      </w:pPr>
      <w:r w:rsidRPr="00E02F46">
        <w:rPr>
          <w:rFonts w:ascii="Garamond" w:eastAsia="Times New Roman" w:hAnsi="Garamond"/>
          <w:lang w:eastAsia="pt-BR"/>
        </w:rPr>
        <w:t>Mas quais seriam os impactos decorrentes de uma interpretação do trabalho como um chamado? Estudos têm apresentado resultados mistos: por um lado, há evidências de que os chamados ocupacionais levem a uma maior intenção de se comprometer (</w:t>
      </w:r>
      <w:proofErr w:type="spellStart"/>
      <w:r w:rsidRPr="00E02F46">
        <w:rPr>
          <w:rFonts w:ascii="Garamond" w:eastAsia="Times New Roman" w:hAnsi="Garamond"/>
          <w:lang w:eastAsia="pt-BR"/>
        </w:rPr>
        <w:t>Creed</w:t>
      </w:r>
      <w:proofErr w:type="spellEnd"/>
      <w:r w:rsidRPr="00E02F46">
        <w:rPr>
          <w:rFonts w:ascii="Garamond" w:eastAsia="Times New Roman" w:hAnsi="Garamond"/>
          <w:lang w:eastAsia="pt-BR"/>
        </w:rPr>
        <w:t xml:space="preserve"> et al., 2020), comprometimento organizacional (</w:t>
      </w:r>
      <w:proofErr w:type="spellStart"/>
      <w:r w:rsidRPr="00E02F46">
        <w:rPr>
          <w:rFonts w:ascii="Garamond" w:eastAsia="Times New Roman" w:hAnsi="Garamond"/>
          <w:lang w:eastAsia="pt-BR"/>
        </w:rPr>
        <w:t>Afsar</w:t>
      </w:r>
      <w:proofErr w:type="spellEnd"/>
      <w:r w:rsidRPr="00E02F46">
        <w:rPr>
          <w:rFonts w:ascii="Garamond" w:eastAsia="Times New Roman" w:hAnsi="Garamond"/>
          <w:lang w:eastAsia="pt-BR"/>
        </w:rPr>
        <w:t xml:space="preserve"> et al., 2019), comprometimento com a carreira (</w:t>
      </w:r>
      <w:proofErr w:type="spellStart"/>
      <w:r w:rsidRPr="00E02F46">
        <w:rPr>
          <w:rFonts w:ascii="Garamond" w:eastAsia="Times New Roman" w:hAnsi="Garamond"/>
          <w:lang w:eastAsia="pt-BR"/>
        </w:rPr>
        <w:t>Gazica</w:t>
      </w:r>
      <w:proofErr w:type="spellEnd"/>
      <w:r w:rsidRPr="00E02F46">
        <w:rPr>
          <w:rFonts w:ascii="Garamond" w:eastAsia="Times New Roman" w:hAnsi="Garamond"/>
          <w:lang w:eastAsia="pt-BR"/>
        </w:rPr>
        <w:t xml:space="preserve"> &amp; Spector, 2015), satisfação no trabalho (Nunes &amp; Felix, 2019; </w:t>
      </w:r>
      <w:proofErr w:type="spellStart"/>
      <w:r w:rsidRPr="00E02F46">
        <w:rPr>
          <w:rFonts w:ascii="Garamond" w:eastAsia="Times New Roman" w:hAnsi="Garamond"/>
          <w:lang w:eastAsia="pt-BR"/>
        </w:rPr>
        <w:t>Hirschi</w:t>
      </w:r>
      <w:proofErr w:type="spellEnd"/>
      <w:r w:rsidRPr="00E02F46">
        <w:rPr>
          <w:rFonts w:ascii="Garamond" w:eastAsia="Times New Roman" w:hAnsi="Garamond"/>
          <w:lang w:eastAsia="pt-BR"/>
        </w:rPr>
        <w:t xml:space="preserve"> et al., 2018; Soares et al., 202</w:t>
      </w:r>
      <w:r w:rsidR="00501C05">
        <w:rPr>
          <w:rFonts w:ascii="Garamond" w:eastAsia="Times New Roman" w:hAnsi="Garamond"/>
          <w:lang w:eastAsia="pt-BR"/>
        </w:rPr>
        <w:t>3</w:t>
      </w:r>
      <w:r w:rsidRPr="00E02F46">
        <w:rPr>
          <w:rFonts w:ascii="Garamond" w:eastAsia="Times New Roman" w:hAnsi="Garamond"/>
          <w:lang w:eastAsia="pt-BR"/>
        </w:rPr>
        <w:t xml:space="preserve">), significado da vida </w:t>
      </w:r>
      <w:r w:rsidRPr="006C779D">
        <w:rPr>
          <w:rFonts w:ascii="Garamond" w:eastAsia="Times New Roman" w:hAnsi="Garamond"/>
          <w:lang w:eastAsia="pt-BR"/>
        </w:rPr>
        <w:t>(</w:t>
      </w:r>
      <w:proofErr w:type="spellStart"/>
      <w:r w:rsidRPr="006C779D">
        <w:rPr>
          <w:rFonts w:ascii="Garamond" w:eastAsia="Times New Roman" w:hAnsi="Garamond"/>
          <w:lang w:eastAsia="pt-BR"/>
        </w:rPr>
        <w:t>Dik</w:t>
      </w:r>
      <w:proofErr w:type="spellEnd"/>
      <w:r w:rsidRPr="006C779D">
        <w:rPr>
          <w:rFonts w:ascii="Garamond" w:eastAsia="Times New Roman" w:hAnsi="Garamond"/>
          <w:lang w:eastAsia="pt-BR"/>
        </w:rPr>
        <w:t xml:space="preserve"> &amp; Duffy, 2009</w:t>
      </w:r>
      <w:r w:rsidRPr="00E02F46">
        <w:rPr>
          <w:rFonts w:ascii="Garamond" w:eastAsia="Times New Roman" w:hAnsi="Garamond"/>
          <w:lang w:eastAsia="pt-BR"/>
        </w:rPr>
        <w:t>; Duffy et al., 2018), satisfação com a vida (</w:t>
      </w:r>
      <w:proofErr w:type="spellStart"/>
      <w:r w:rsidRPr="00E02F46">
        <w:rPr>
          <w:rFonts w:ascii="Garamond" w:eastAsia="Times New Roman" w:hAnsi="Garamond"/>
          <w:lang w:eastAsia="pt-BR"/>
        </w:rPr>
        <w:t>Hirschi</w:t>
      </w:r>
      <w:proofErr w:type="spellEnd"/>
      <w:r w:rsidRPr="00E02F46">
        <w:rPr>
          <w:rFonts w:ascii="Garamond" w:eastAsia="Times New Roman" w:hAnsi="Garamond"/>
          <w:lang w:eastAsia="pt-BR"/>
        </w:rPr>
        <w:t xml:space="preserve"> et al., 2018; Duffy et al., 2022) e bem-estar existencial (</w:t>
      </w:r>
      <w:proofErr w:type="spellStart"/>
      <w:r w:rsidRPr="00E02F46">
        <w:rPr>
          <w:rFonts w:ascii="Garamond" w:eastAsia="Times New Roman" w:hAnsi="Garamond"/>
          <w:lang w:eastAsia="pt-BR"/>
        </w:rPr>
        <w:t>Steger</w:t>
      </w:r>
      <w:proofErr w:type="spellEnd"/>
      <w:r w:rsidRPr="00E02F46">
        <w:rPr>
          <w:rFonts w:ascii="Garamond" w:eastAsia="Times New Roman" w:hAnsi="Garamond"/>
          <w:lang w:eastAsia="pt-BR"/>
        </w:rPr>
        <w:t xml:space="preserve"> et al., 2010).  Por outro lado, há evidências de que ver o trabalho como um chamado não produza relações significativas com alguns desses conceitos, e sim gere efeitos nocivos para trabalhadores, tais como um aumento no nível de estresse (Park &amp; Lee, 2020), excesso de horas de trabalho (</w:t>
      </w:r>
      <w:proofErr w:type="spellStart"/>
      <w:r w:rsidRPr="00E02F46">
        <w:rPr>
          <w:rFonts w:ascii="Garamond" w:eastAsia="Times New Roman" w:hAnsi="Garamond"/>
          <w:lang w:eastAsia="pt-BR"/>
        </w:rPr>
        <w:t>Lysova</w:t>
      </w:r>
      <w:proofErr w:type="spellEnd"/>
      <w:r w:rsidRPr="00E02F46">
        <w:rPr>
          <w:rFonts w:ascii="Garamond" w:eastAsia="Times New Roman" w:hAnsi="Garamond"/>
          <w:lang w:eastAsia="pt-BR"/>
        </w:rPr>
        <w:t xml:space="preserve"> et al., 2019) e aumento de inflexibilidade na carreira (</w:t>
      </w:r>
      <w:proofErr w:type="spellStart"/>
      <w:r w:rsidRPr="00E02F46">
        <w:rPr>
          <w:rFonts w:ascii="Garamond" w:eastAsia="Times New Roman" w:hAnsi="Garamond"/>
          <w:lang w:eastAsia="pt-BR"/>
        </w:rPr>
        <w:t>Lysova</w:t>
      </w:r>
      <w:proofErr w:type="spellEnd"/>
      <w:r w:rsidRPr="00E02F46">
        <w:rPr>
          <w:rFonts w:ascii="Garamond" w:eastAsia="Times New Roman" w:hAnsi="Garamond"/>
          <w:lang w:eastAsia="pt-BR"/>
        </w:rPr>
        <w:t xml:space="preserve"> et al., 2018). </w:t>
      </w:r>
    </w:p>
    <w:p w14:paraId="7940ECC1" w14:textId="77777777" w:rsidR="00E02F46" w:rsidRPr="00E02F46" w:rsidRDefault="00E02F46" w:rsidP="00E02F46">
      <w:pPr>
        <w:autoSpaceDE w:val="0"/>
        <w:autoSpaceDN w:val="0"/>
        <w:adjustRightInd w:val="0"/>
        <w:jc w:val="both"/>
        <w:rPr>
          <w:rFonts w:ascii="Garamond" w:eastAsia="Times New Roman" w:hAnsi="Garamond"/>
          <w:lang w:eastAsia="pt-BR"/>
        </w:rPr>
      </w:pPr>
      <w:r w:rsidRPr="00E02F46">
        <w:rPr>
          <w:rFonts w:ascii="Garamond" w:eastAsia="Times New Roman" w:hAnsi="Garamond"/>
          <w:lang w:eastAsia="pt-BR"/>
        </w:rPr>
        <w:t xml:space="preserve">Desta forma, parte dos resultados mistos sobre os efeitos de um chamado ocupacional podem ser explicados por uma falha na distinção conceitual entre perceber e viver um chamado (Nunes &amp; Felix, 2019). Dado que os estudos sobre chamados discutem o conceito de chamado ocupacional, sem considerar a importância entre perceber e viver um chamado (Duffy et al., 2011). Enquanto, perceber um chamado significa o ato de identificar em si uma inclinação por uma atividade laboral com um significado que transcende critérios tradicionais e objetivos, viver um chamado representa o ato de desenvolver uma atividade laboral fundamentada em tal chamado (Felix &amp; </w:t>
      </w:r>
      <w:proofErr w:type="spellStart"/>
      <w:r w:rsidRPr="00E02F46">
        <w:rPr>
          <w:rFonts w:ascii="Garamond" w:eastAsia="Times New Roman" w:hAnsi="Garamond"/>
          <w:lang w:eastAsia="pt-BR"/>
        </w:rPr>
        <w:t>Blulm</w:t>
      </w:r>
      <w:proofErr w:type="spellEnd"/>
      <w:r w:rsidRPr="00E02F46">
        <w:rPr>
          <w:rFonts w:ascii="Garamond" w:eastAsia="Times New Roman" w:hAnsi="Garamond"/>
          <w:lang w:eastAsia="pt-BR"/>
        </w:rPr>
        <w:t xml:space="preserve">, 2020). </w:t>
      </w:r>
    </w:p>
    <w:p w14:paraId="4AC79489" w14:textId="30612F95" w:rsidR="00E02F46" w:rsidRPr="00E02F46" w:rsidRDefault="00E02F46" w:rsidP="00E02F46">
      <w:pPr>
        <w:autoSpaceDE w:val="0"/>
        <w:autoSpaceDN w:val="0"/>
        <w:adjustRightInd w:val="0"/>
        <w:jc w:val="both"/>
        <w:rPr>
          <w:rFonts w:ascii="Garamond" w:eastAsia="Times New Roman" w:hAnsi="Garamond"/>
          <w:lang w:eastAsia="pt-BR"/>
        </w:rPr>
      </w:pPr>
      <w:r w:rsidRPr="00E02F46">
        <w:rPr>
          <w:rFonts w:ascii="Garamond" w:eastAsia="Times New Roman" w:hAnsi="Garamond"/>
          <w:lang w:eastAsia="pt-BR"/>
        </w:rPr>
        <w:t>Assim, apesar das contribuições desses pesquisadores, verifica-se que há algumas lacunas a serem preenchidas. Primeiro, a necessidade de expandir os estudos que tratem em um mesmo modelo teórico os diversos efeitos de perceber um chamado e agregando o construto viver um chamado (</w:t>
      </w:r>
      <w:proofErr w:type="spellStart"/>
      <w:r w:rsidRPr="00E02F46">
        <w:rPr>
          <w:rFonts w:ascii="Garamond" w:eastAsia="Times New Roman" w:hAnsi="Garamond"/>
          <w:lang w:eastAsia="pt-BR"/>
        </w:rPr>
        <w:t>Gazica</w:t>
      </w:r>
      <w:proofErr w:type="spellEnd"/>
      <w:r w:rsidRPr="00E02F46">
        <w:rPr>
          <w:rFonts w:ascii="Garamond" w:eastAsia="Times New Roman" w:hAnsi="Garamond"/>
          <w:lang w:eastAsia="pt-BR"/>
        </w:rPr>
        <w:t xml:space="preserve"> &amp; Spector, 2015; Duffy et al., 2017; </w:t>
      </w:r>
      <w:proofErr w:type="spellStart"/>
      <w:r w:rsidRPr="00E02F46">
        <w:rPr>
          <w:rFonts w:ascii="Garamond" w:eastAsia="Times New Roman" w:hAnsi="Garamond"/>
          <w:lang w:eastAsia="pt-BR"/>
        </w:rPr>
        <w:t>Steger</w:t>
      </w:r>
      <w:proofErr w:type="spellEnd"/>
      <w:r w:rsidRPr="00E02F46">
        <w:rPr>
          <w:rFonts w:ascii="Garamond" w:eastAsia="Times New Roman" w:hAnsi="Garamond"/>
          <w:lang w:eastAsia="pt-BR"/>
        </w:rPr>
        <w:t xml:space="preserve"> et al., 2010). Segundo os estudos anteriores sobre chamado organizacional aplicam os conceitos de perceber um chamado e viver um chamado (Duffy et al., 2022) </w:t>
      </w:r>
      <w:proofErr w:type="gramStart"/>
      <w:r w:rsidRPr="00E02F46">
        <w:rPr>
          <w:rFonts w:ascii="Garamond" w:eastAsia="Times New Roman" w:hAnsi="Garamond"/>
          <w:lang w:eastAsia="pt-BR"/>
        </w:rPr>
        <w:t>à</w:t>
      </w:r>
      <w:proofErr w:type="gramEnd"/>
      <w:r w:rsidRPr="00E02F46">
        <w:rPr>
          <w:rFonts w:ascii="Garamond" w:eastAsia="Times New Roman" w:hAnsi="Garamond"/>
          <w:lang w:eastAsia="pt-BR"/>
        </w:rPr>
        <w:t xml:space="preserve"> amostras específicas, como: acadêmicos (</w:t>
      </w:r>
      <w:proofErr w:type="spellStart"/>
      <w:r w:rsidRPr="00E02F46">
        <w:rPr>
          <w:rFonts w:ascii="Garamond" w:eastAsia="Times New Roman" w:hAnsi="Garamond"/>
          <w:lang w:eastAsia="pt-BR"/>
        </w:rPr>
        <w:t>Gazica</w:t>
      </w:r>
      <w:proofErr w:type="spellEnd"/>
      <w:r w:rsidRPr="00E02F46">
        <w:rPr>
          <w:rFonts w:ascii="Garamond" w:eastAsia="Times New Roman" w:hAnsi="Garamond"/>
          <w:lang w:eastAsia="pt-BR"/>
        </w:rPr>
        <w:t xml:space="preserve"> &amp; Spector, 2015), aposentados (Duffy et al., 2017) e enfermeiros (</w:t>
      </w:r>
      <w:proofErr w:type="spellStart"/>
      <w:r w:rsidRPr="00E02F46">
        <w:rPr>
          <w:rFonts w:ascii="Garamond" w:eastAsia="Times New Roman" w:hAnsi="Garamond"/>
          <w:lang w:eastAsia="pt-BR"/>
        </w:rPr>
        <w:t>Afsar</w:t>
      </w:r>
      <w:proofErr w:type="spellEnd"/>
      <w:r w:rsidRPr="00E02F46">
        <w:rPr>
          <w:rFonts w:ascii="Garamond" w:eastAsia="Times New Roman" w:hAnsi="Garamond"/>
          <w:lang w:eastAsia="pt-BR"/>
        </w:rPr>
        <w:t xml:space="preserve"> et al., 2019). Ainda, os estudos anteriores foram em sua grande maioria realizados no cenário estadunidense (Duffy et al. 2012; </w:t>
      </w:r>
      <w:proofErr w:type="spellStart"/>
      <w:r w:rsidRPr="00E02F46">
        <w:rPr>
          <w:rFonts w:ascii="Garamond" w:eastAsia="Times New Roman" w:hAnsi="Garamond"/>
          <w:lang w:eastAsia="pt-BR"/>
        </w:rPr>
        <w:t>Gazica</w:t>
      </w:r>
      <w:proofErr w:type="spellEnd"/>
      <w:r w:rsidRPr="00E02F46">
        <w:rPr>
          <w:rFonts w:ascii="Garamond" w:eastAsia="Times New Roman" w:hAnsi="Garamond"/>
          <w:lang w:eastAsia="pt-BR"/>
        </w:rPr>
        <w:t xml:space="preserve"> &amp; Spector, 2015), paquistanês (</w:t>
      </w:r>
      <w:proofErr w:type="spellStart"/>
      <w:r w:rsidRPr="00E02F46">
        <w:rPr>
          <w:rFonts w:ascii="Garamond" w:eastAsia="Times New Roman" w:hAnsi="Garamond"/>
          <w:lang w:eastAsia="pt-BR"/>
        </w:rPr>
        <w:t>Afsar</w:t>
      </w:r>
      <w:proofErr w:type="spellEnd"/>
      <w:r w:rsidRPr="00E02F46">
        <w:rPr>
          <w:rFonts w:ascii="Garamond" w:eastAsia="Times New Roman" w:hAnsi="Garamond"/>
          <w:lang w:eastAsia="pt-BR"/>
        </w:rPr>
        <w:t xml:space="preserve"> et al., 2019), entre outros. Os estudos sobre chamado ocupacional no contexto brasileiro ainda são escassos (Nunes &amp; Felix, 2019; Felix &amp; </w:t>
      </w:r>
      <w:proofErr w:type="spellStart"/>
      <w:r w:rsidRPr="00E02F46">
        <w:rPr>
          <w:rFonts w:ascii="Garamond" w:eastAsia="Times New Roman" w:hAnsi="Garamond"/>
          <w:lang w:eastAsia="pt-BR"/>
        </w:rPr>
        <w:t>Blulm</w:t>
      </w:r>
      <w:proofErr w:type="spellEnd"/>
      <w:r w:rsidRPr="00E02F46">
        <w:rPr>
          <w:rFonts w:ascii="Garamond" w:eastAsia="Times New Roman" w:hAnsi="Garamond"/>
          <w:lang w:eastAsia="pt-BR"/>
        </w:rPr>
        <w:t xml:space="preserve">, 2020; </w:t>
      </w:r>
      <w:r w:rsidRPr="00FB71C9">
        <w:rPr>
          <w:rFonts w:ascii="Garamond" w:eastAsia="Times New Roman" w:hAnsi="Garamond"/>
          <w:lang w:eastAsia="pt-BR"/>
        </w:rPr>
        <w:t>Felix &amp; Papaleo, 2021;</w:t>
      </w:r>
      <w:r w:rsidRPr="00E02F46">
        <w:rPr>
          <w:rFonts w:ascii="Garamond" w:eastAsia="Times New Roman" w:hAnsi="Garamond"/>
          <w:lang w:eastAsia="pt-BR"/>
        </w:rPr>
        <w:t xml:space="preserve"> Soares et al., 202</w:t>
      </w:r>
      <w:r w:rsidR="00501C05">
        <w:rPr>
          <w:rFonts w:ascii="Garamond" w:eastAsia="Times New Roman" w:hAnsi="Garamond"/>
          <w:lang w:eastAsia="pt-BR"/>
        </w:rPr>
        <w:t>3</w:t>
      </w:r>
      <w:r w:rsidRPr="00E02F46">
        <w:rPr>
          <w:rFonts w:ascii="Garamond" w:eastAsia="Times New Roman" w:hAnsi="Garamond"/>
          <w:lang w:eastAsia="pt-BR"/>
        </w:rPr>
        <w:t xml:space="preserve">). </w:t>
      </w:r>
    </w:p>
    <w:p w14:paraId="659A1F50" w14:textId="77777777" w:rsidR="00E02F46" w:rsidRPr="00E02F46" w:rsidRDefault="00E02F46" w:rsidP="00E02F46">
      <w:pPr>
        <w:autoSpaceDE w:val="0"/>
        <w:autoSpaceDN w:val="0"/>
        <w:adjustRightInd w:val="0"/>
        <w:jc w:val="both"/>
        <w:rPr>
          <w:rFonts w:ascii="Garamond" w:eastAsia="Times New Roman" w:hAnsi="Garamond"/>
          <w:lang w:eastAsia="pt-BR"/>
        </w:rPr>
      </w:pPr>
      <w:r w:rsidRPr="00E02F46">
        <w:rPr>
          <w:rFonts w:ascii="Garamond" w:eastAsia="Times New Roman" w:hAnsi="Garamond"/>
          <w:lang w:eastAsia="pt-BR"/>
        </w:rPr>
        <w:t xml:space="preserve">Diante destas lacunas, esta pesquisa teve como objetivo analisar o papel moderador da vivência de um chamado nas relações diretas entre perceber um chamado e satisfação no trabalho, satisfação com a vida, significado da vida, bem-estar existencial e compromisso com a carreira, no contexto brasileiro e com indivíduos que trabalham em diversos setores da economia. Defende-se aqui que as consequências positivas de se perceber um chamado tendem a ser ampliadas por meio da vivência de um chamado. A </w:t>
      </w:r>
      <w:r w:rsidRPr="00E02F46">
        <w:rPr>
          <w:rFonts w:ascii="Garamond" w:eastAsia="Times New Roman" w:hAnsi="Garamond"/>
          <w:lang w:eastAsia="pt-BR"/>
        </w:rPr>
        <w:lastRenderedPageBreak/>
        <w:t xml:space="preserve">ideia é que perceber um chamado e conseguir vivê-lo é um fator que criaria uma expectativa cumprida nos indivíduos, o que acarretaria um aumento na percepção de resultados desejáveis como: satisfação no trabalho, satisfação com a vida, significado da vida, bem-estar existencial e compromisso com a carreira. </w:t>
      </w:r>
    </w:p>
    <w:p w14:paraId="64B02E35" w14:textId="54561DB9" w:rsidR="00E02F46" w:rsidRPr="00E02F46" w:rsidRDefault="00E02F46" w:rsidP="00E02F46">
      <w:pPr>
        <w:autoSpaceDE w:val="0"/>
        <w:autoSpaceDN w:val="0"/>
        <w:adjustRightInd w:val="0"/>
        <w:jc w:val="both"/>
        <w:rPr>
          <w:rFonts w:ascii="Garamond" w:eastAsia="Times New Roman" w:hAnsi="Garamond"/>
          <w:lang w:eastAsia="pt-BR"/>
        </w:rPr>
      </w:pPr>
      <w:r w:rsidRPr="00E02F46">
        <w:rPr>
          <w:rFonts w:ascii="Garamond" w:eastAsia="Times New Roman" w:hAnsi="Garamond"/>
          <w:lang w:eastAsia="pt-BR"/>
        </w:rPr>
        <w:t xml:space="preserve">Desta forma, esta pesquisa soma-se aos de </w:t>
      </w:r>
      <w:proofErr w:type="spellStart"/>
      <w:r w:rsidRPr="00E02F46">
        <w:rPr>
          <w:rFonts w:ascii="Garamond" w:eastAsia="Times New Roman" w:hAnsi="Garamond"/>
          <w:lang w:eastAsia="pt-BR"/>
        </w:rPr>
        <w:t>Gazica</w:t>
      </w:r>
      <w:proofErr w:type="spellEnd"/>
      <w:r w:rsidRPr="00E02F46">
        <w:rPr>
          <w:rFonts w:ascii="Garamond" w:eastAsia="Times New Roman" w:hAnsi="Garamond"/>
          <w:lang w:eastAsia="pt-BR"/>
        </w:rPr>
        <w:t xml:space="preserve"> e Spector (2015), Duffy</w:t>
      </w:r>
      <w:r w:rsidR="004D0A7B" w:rsidRPr="004D0A7B">
        <w:rPr>
          <w:rFonts w:ascii="Garamond" w:eastAsia="Times New Roman" w:hAnsi="Garamond"/>
          <w:lang w:eastAsia="pt-BR"/>
        </w:rPr>
        <w:t xml:space="preserve"> </w:t>
      </w:r>
      <w:r w:rsidR="004D0A7B" w:rsidRPr="00E02F46">
        <w:rPr>
          <w:rFonts w:ascii="Garamond" w:eastAsia="Times New Roman" w:hAnsi="Garamond"/>
          <w:lang w:eastAsia="pt-BR"/>
        </w:rPr>
        <w:t xml:space="preserve">et al. </w:t>
      </w:r>
      <w:r w:rsidRPr="00E02F46">
        <w:rPr>
          <w:rFonts w:ascii="Garamond" w:eastAsia="Times New Roman" w:hAnsi="Garamond"/>
          <w:lang w:eastAsia="pt-BR"/>
        </w:rPr>
        <w:t xml:space="preserve">(2017), </w:t>
      </w:r>
      <w:proofErr w:type="spellStart"/>
      <w:r w:rsidRPr="00E02F46">
        <w:rPr>
          <w:rFonts w:ascii="Garamond" w:eastAsia="Times New Roman" w:hAnsi="Garamond"/>
          <w:lang w:eastAsia="pt-BR"/>
        </w:rPr>
        <w:t>Steger</w:t>
      </w:r>
      <w:proofErr w:type="spellEnd"/>
      <w:r w:rsidRPr="00E02F46">
        <w:rPr>
          <w:rFonts w:ascii="Garamond" w:eastAsia="Times New Roman" w:hAnsi="Garamond"/>
          <w:lang w:eastAsia="pt-BR"/>
        </w:rPr>
        <w:t xml:space="preserve"> et al. (2010) e Duffy et al. (2012), Soares et al. (202</w:t>
      </w:r>
      <w:r w:rsidR="00501C05">
        <w:rPr>
          <w:rFonts w:ascii="Garamond" w:eastAsia="Times New Roman" w:hAnsi="Garamond"/>
          <w:lang w:eastAsia="pt-BR"/>
        </w:rPr>
        <w:t>3</w:t>
      </w:r>
      <w:r w:rsidRPr="00E02F46">
        <w:rPr>
          <w:rFonts w:ascii="Garamond" w:eastAsia="Times New Roman" w:hAnsi="Garamond"/>
          <w:lang w:eastAsia="pt-BR"/>
        </w:rPr>
        <w:t xml:space="preserve">) na medida em que amplia estas pesquisas e se propõe a verificar o papel moderador de viver um chamado nas relações com perceber um chamado e os demais construtos consequentes de perceber um chamado. A diferença é que neste trabalho os construtos de satisfação no trabalho, satisfação com a vida, significado da vida, bem-estar existencial e compromisso com a carreira são verificados em conjunto, algo ainda não proposto pela literatura. </w:t>
      </w:r>
    </w:p>
    <w:p w14:paraId="3D966573" w14:textId="55E9818B" w:rsidR="009F6351" w:rsidRPr="004F5E05" w:rsidRDefault="00E02F46" w:rsidP="00E02F46">
      <w:pPr>
        <w:autoSpaceDE w:val="0"/>
        <w:autoSpaceDN w:val="0"/>
        <w:adjustRightInd w:val="0"/>
        <w:jc w:val="both"/>
        <w:rPr>
          <w:rFonts w:ascii="Garamond" w:hAnsi="Garamond"/>
          <w:b/>
          <w:sz w:val="28"/>
          <w:szCs w:val="28"/>
          <w:lang w:eastAsia="pt-BR"/>
        </w:rPr>
      </w:pPr>
      <w:r w:rsidRPr="00E02F46">
        <w:rPr>
          <w:rFonts w:ascii="Garamond" w:eastAsia="Times New Roman" w:hAnsi="Garamond"/>
          <w:lang w:eastAsia="pt-BR"/>
        </w:rPr>
        <w:t>Além disso, outra contribuição teórica desta pesquisa para os estudos sobre chamado organizacional é que se aplicam os conceitos de perceber um chamado e viver um chamado a setores específicos, como acadêmicos (</w:t>
      </w:r>
      <w:proofErr w:type="spellStart"/>
      <w:r w:rsidRPr="00E02F46">
        <w:rPr>
          <w:rFonts w:ascii="Garamond" w:eastAsia="Times New Roman" w:hAnsi="Garamond"/>
          <w:lang w:eastAsia="pt-BR"/>
        </w:rPr>
        <w:t>Gazica</w:t>
      </w:r>
      <w:proofErr w:type="spellEnd"/>
      <w:r w:rsidRPr="00E02F46">
        <w:rPr>
          <w:rFonts w:ascii="Garamond" w:eastAsia="Times New Roman" w:hAnsi="Garamond"/>
          <w:lang w:eastAsia="pt-BR"/>
        </w:rPr>
        <w:t xml:space="preserve"> &amp; Spector, 2015), aposentados (Duffy et al., 2017) e com o setor de enfermagem (</w:t>
      </w:r>
      <w:proofErr w:type="spellStart"/>
      <w:r w:rsidRPr="00E02F46">
        <w:rPr>
          <w:rFonts w:ascii="Garamond" w:eastAsia="Times New Roman" w:hAnsi="Garamond"/>
          <w:lang w:eastAsia="pt-BR"/>
        </w:rPr>
        <w:t>Afsar</w:t>
      </w:r>
      <w:proofErr w:type="spellEnd"/>
      <w:r w:rsidRPr="00E02F46">
        <w:rPr>
          <w:rFonts w:ascii="Garamond" w:eastAsia="Times New Roman" w:hAnsi="Garamond"/>
          <w:lang w:eastAsia="pt-BR"/>
        </w:rPr>
        <w:t xml:space="preserve"> et al., 2019). Diferentemente dos trabalhos citados, esta pesquisa investigou os conceitos de perceber um chamado e viver um chamado sem especificar profissão ou setor. Ainda, os estudos presentes são realizados em grande maioria no cenário estadunidense (Duffy et al. 2012; </w:t>
      </w:r>
      <w:proofErr w:type="spellStart"/>
      <w:r w:rsidRPr="00E02F46">
        <w:rPr>
          <w:rFonts w:ascii="Garamond" w:eastAsia="Times New Roman" w:hAnsi="Garamond"/>
          <w:lang w:eastAsia="pt-BR"/>
        </w:rPr>
        <w:t>Gazica</w:t>
      </w:r>
      <w:proofErr w:type="spellEnd"/>
      <w:r w:rsidRPr="00E02F46">
        <w:rPr>
          <w:rFonts w:ascii="Garamond" w:eastAsia="Times New Roman" w:hAnsi="Garamond"/>
          <w:lang w:eastAsia="pt-BR"/>
        </w:rPr>
        <w:t xml:space="preserve"> &amp; Spector, 2015), paquistanês (</w:t>
      </w:r>
      <w:proofErr w:type="spellStart"/>
      <w:r w:rsidRPr="00E02F46">
        <w:rPr>
          <w:rFonts w:ascii="Garamond" w:eastAsia="Times New Roman" w:hAnsi="Garamond"/>
          <w:lang w:eastAsia="pt-BR"/>
        </w:rPr>
        <w:t>Afsar</w:t>
      </w:r>
      <w:proofErr w:type="spellEnd"/>
      <w:r w:rsidRPr="00E02F46">
        <w:rPr>
          <w:rFonts w:ascii="Garamond" w:eastAsia="Times New Roman" w:hAnsi="Garamond"/>
          <w:lang w:eastAsia="pt-BR"/>
        </w:rPr>
        <w:t xml:space="preserve"> et al., 2019), entre outros. Porém, o contexto brasileiro é pouco explorado (Nunes &amp; Felix, 2019; Felix &amp; </w:t>
      </w:r>
      <w:proofErr w:type="spellStart"/>
      <w:r w:rsidRPr="00E02F46">
        <w:rPr>
          <w:rFonts w:ascii="Garamond" w:eastAsia="Times New Roman" w:hAnsi="Garamond"/>
          <w:lang w:eastAsia="pt-BR"/>
        </w:rPr>
        <w:t>Blulm</w:t>
      </w:r>
      <w:proofErr w:type="spellEnd"/>
      <w:r w:rsidRPr="00E02F46">
        <w:rPr>
          <w:rFonts w:ascii="Garamond" w:eastAsia="Times New Roman" w:hAnsi="Garamond"/>
          <w:lang w:eastAsia="pt-BR"/>
        </w:rPr>
        <w:t>, 2020). Desta forma, para explorar e preencher esta lacuna, o trabalho foi realizado com trabalhadores no cenário brasileiro.</w:t>
      </w:r>
    </w:p>
    <w:p w14:paraId="623831FF" w14:textId="4C7CBB54" w:rsidR="00F64A9F" w:rsidRDefault="00F64A9F" w:rsidP="00F64A9F">
      <w:pPr>
        <w:autoSpaceDE w:val="0"/>
        <w:autoSpaceDN w:val="0"/>
        <w:adjustRightInd w:val="0"/>
        <w:jc w:val="both"/>
        <w:rPr>
          <w:rFonts w:ascii="Garamond" w:hAnsi="Garamond"/>
          <w:b/>
          <w:sz w:val="28"/>
          <w:szCs w:val="28"/>
          <w:lang w:eastAsia="pt-BR"/>
        </w:rPr>
      </w:pPr>
      <w:r>
        <w:rPr>
          <w:rFonts w:ascii="Garamond" w:hAnsi="Garamond"/>
          <w:b/>
          <w:sz w:val="28"/>
          <w:szCs w:val="28"/>
          <w:lang w:eastAsia="pt-BR"/>
        </w:rPr>
        <w:t>Referencial Teórico</w:t>
      </w:r>
    </w:p>
    <w:p w14:paraId="353F001D" w14:textId="4F423680" w:rsidR="006111BE" w:rsidRPr="00584A2B" w:rsidRDefault="000B1527" w:rsidP="00F64A9F">
      <w:pPr>
        <w:autoSpaceDE w:val="0"/>
        <w:autoSpaceDN w:val="0"/>
        <w:adjustRightInd w:val="0"/>
        <w:jc w:val="both"/>
        <w:rPr>
          <w:rFonts w:ascii="Garamond" w:hAnsi="Garamond"/>
          <w:b/>
          <w:sz w:val="28"/>
          <w:szCs w:val="28"/>
          <w:lang w:eastAsia="pt-BR"/>
        </w:rPr>
      </w:pPr>
      <w:r w:rsidRPr="000B1527">
        <w:rPr>
          <w:rFonts w:ascii="Garamond" w:hAnsi="Garamond"/>
          <w:b/>
          <w:sz w:val="28"/>
          <w:szCs w:val="28"/>
          <w:lang w:eastAsia="pt-BR"/>
        </w:rPr>
        <w:t>Chamado ocupacional e perceber um chamado</w:t>
      </w:r>
    </w:p>
    <w:p w14:paraId="456AA15A" w14:textId="77777777" w:rsidR="0087024E" w:rsidRPr="0087024E" w:rsidRDefault="0087024E" w:rsidP="0087024E">
      <w:pPr>
        <w:autoSpaceDE w:val="0"/>
        <w:autoSpaceDN w:val="0"/>
        <w:adjustRightInd w:val="0"/>
        <w:jc w:val="both"/>
        <w:rPr>
          <w:rFonts w:ascii="Garamond" w:eastAsia="Times New Roman" w:hAnsi="Garamond"/>
          <w:lang w:eastAsia="pt-BR"/>
        </w:rPr>
      </w:pPr>
      <w:r w:rsidRPr="0087024E">
        <w:rPr>
          <w:rFonts w:ascii="Garamond" w:eastAsia="Times New Roman" w:hAnsi="Garamond"/>
          <w:lang w:eastAsia="pt-BR"/>
        </w:rPr>
        <w:t>Chamado ocupacional é um conceito que possui raízes históricas religiosas, na qual se referia a uma convocação para o cumprimento de designações divinas (</w:t>
      </w:r>
      <w:proofErr w:type="spellStart"/>
      <w:r w:rsidRPr="0087024E">
        <w:rPr>
          <w:rFonts w:ascii="Garamond" w:eastAsia="Times New Roman" w:hAnsi="Garamond"/>
          <w:lang w:eastAsia="pt-BR"/>
        </w:rPr>
        <w:t>Elangovan</w:t>
      </w:r>
      <w:proofErr w:type="spellEnd"/>
      <w:r w:rsidRPr="0087024E">
        <w:rPr>
          <w:rFonts w:ascii="Garamond" w:eastAsia="Times New Roman" w:hAnsi="Garamond"/>
          <w:lang w:eastAsia="pt-BR"/>
        </w:rPr>
        <w:t xml:space="preserve"> et al., 2010; Felix &amp; Papaleo, 2021). No entanto, no contexto secular, um chamado ocupacional se refere a visualizar uma ocupação como algo significativo, agradável e identificada com sua identidade, como uma paixão em relação a um trabalho (</w:t>
      </w:r>
      <w:proofErr w:type="spellStart"/>
      <w:r w:rsidRPr="0087024E">
        <w:rPr>
          <w:rFonts w:ascii="Garamond" w:eastAsia="Times New Roman" w:hAnsi="Garamond"/>
          <w:lang w:eastAsia="pt-BR"/>
        </w:rPr>
        <w:t>Dobrow</w:t>
      </w:r>
      <w:proofErr w:type="spellEnd"/>
      <w:r w:rsidRPr="0087024E">
        <w:rPr>
          <w:rFonts w:ascii="Garamond" w:eastAsia="Times New Roman" w:hAnsi="Garamond"/>
          <w:lang w:eastAsia="pt-BR"/>
        </w:rPr>
        <w:t xml:space="preserve"> &amp; Tosti-</w:t>
      </w:r>
      <w:proofErr w:type="spellStart"/>
      <w:r w:rsidRPr="0087024E">
        <w:rPr>
          <w:rFonts w:ascii="Garamond" w:eastAsia="Times New Roman" w:hAnsi="Garamond"/>
          <w:lang w:eastAsia="pt-BR"/>
        </w:rPr>
        <w:t>Kharas</w:t>
      </w:r>
      <w:proofErr w:type="spellEnd"/>
      <w:r w:rsidRPr="0087024E">
        <w:rPr>
          <w:rFonts w:ascii="Garamond" w:eastAsia="Times New Roman" w:hAnsi="Garamond"/>
          <w:lang w:eastAsia="pt-BR"/>
        </w:rPr>
        <w:t xml:space="preserve">, 2011). Outra definição para chamado ocupacional é a de um senso que faz com que indivíduos se sintam chamados em direção a uma carreira em particular, podendo ser por fatores internos ou externos, de modo que este chamado seja uma fonte de sentido de vida (Duffy et al., 2011, p. 211). </w:t>
      </w:r>
    </w:p>
    <w:p w14:paraId="26BCDFAD" w14:textId="77777777" w:rsidR="0087024E" w:rsidRPr="0087024E" w:rsidRDefault="0087024E" w:rsidP="0087024E">
      <w:pPr>
        <w:autoSpaceDE w:val="0"/>
        <w:autoSpaceDN w:val="0"/>
        <w:adjustRightInd w:val="0"/>
        <w:jc w:val="both"/>
        <w:rPr>
          <w:rFonts w:ascii="Garamond" w:eastAsia="Times New Roman" w:hAnsi="Garamond"/>
          <w:lang w:eastAsia="pt-BR"/>
        </w:rPr>
      </w:pPr>
      <w:r w:rsidRPr="0087024E">
        <w:rPr>
          <w:rFonts w:ascii="Garamond" w:eastAsia="Times New Roman" w:hAnsi="Garamond"/>
          <w:lang w:eastAsia="pt-BR"/>
        </w:rPr>
        <w:t>No mercado de trabalho contemporâneo, há uma grande oferta de carreiras, isso tem feito com que trabalhadores busquem um propósito no trabalho (Duffy et al., 2017). Na literatura, ver o trabalho como um chamado, geralmente está relacionado a resultados positivos como melhores níveis de satisfação, desempenho e engajamento no trabalho (</w:t>
      </w:r>
      <w:proofErr w:type="spellStart"/>
      <w:r w:rsidRPr="0087024E">
        <w:rPr>
          <w:rFonts w:ascii="Garamond" w:eastAsia="Times New Roman" w:hAnsi="Garamond"/>
          <w:lang w:eastAsia="pt-BR"/>
        </w:rPr>
        <w:t>Michaelson</w:t>
      </w:r>
      <w:proofErr w:type="spellEnd"/>
      <w:r w:rsidRPr="0087024E">
        <w:rPr>
          <w:rFonts w:ascii="Garamond" w:eastAsia="Times New Roman" w:hAnsi="Garamond"/>
          <w:lang w:eastAsia="pt-BR"/>
        </w:rPr>
        <w:t xml:space="preserve"> &amp; Tosti-</w:t>
      </w:r>
      <w:proofErr w:type="spellStart"/>
      <w:r w:rsidRPr="0087024E">
        <w:rPr>
          <w:rFonts w:ascii="Garamond" w:eastAsia="Times New Roman" w:hAnsi="Garamond"/>
          <w:lang w:eastAsia="pt-BR"/>
        </w:rPr>
        <w:t>Kharas</w:t>
      </w:r>
      <w:proofErr w:type="spellEnd"/>
      <w:r w:rsidRPr="0087024E">
        <w:rPr>
          <w:rFonts w:ascii="Garamond" w:eastAsia="Times New Roman" w:hAnsi="Garamond"/>
          <w:lang w:eastAsia="pt-BR"/>
        </w:rPr>
        <w:t xml:space="preserve">, 2019). Em consequência disso, na última década, houve um crescimento no número de publicações em revistas de impacto sobre chamados ocupacionais no exterior (Duffy et al., 2011; </w:t>
      </w:r>
      <w:proofErr w:type="spellStart"/>
      <w:r w:rsidRPr="0087024E">
        <w:rPr>
          <w:rFonts w:ascii="Garamond" w:eastAsia="Times New Roman" w:hAnsi="Garamond"/>
          <w:lang w:eastAsia="pt-BR"/>
        </w:rPr>
        <w:t>Gazica</w:t>
      </w:r>
      <w:proofErr w:type="spellEnd"/>
      <w:r w:rsidRPr="0087024E">
        <w:rPr>
          <w:rFonts w:ascii="Garamond" w:eastAsia="Times New Roman" w:hAnsi="Garamond"/>
          <w:lang w:eastAsia="pt-BR"/>
        </w:rPr>
        <w:t xml:space="preserve"> &amp; Spector, 2015, </w:t>
      </w:r>
      <w:proofErr w:type="spellStart"/>
      <w:r w:rsidRPr="0087024E">
        <w:rPr>
          <w:rFonts w:ascii="Garamond" w:eastAsia="Times New Roman" w:hAnsi="Garamond"/>
          <w:lang w:eastAsia="pt-BR"/>
        </w:rPr>
        <w:t>Hirschi</w:t>
      </w:r>
      <w:proofErr w:type="spellEnd"/>
      <w:r w:rsidRPr="0087024E">
        <w:rPr>
          <w:rFonts w:ascii="Garamond" w:eastAsia="Times New Roman" w:hAnsi="Garamond"/>
          <w:lang w:eastAsia="pt-BR"/>
        </w:rPr>
        <w:t xml:space="preserve"> et al., 2018; </w:t>
      </w:r>
      <w:proofErr w:type="spellStart"/>
      <w:r w:rsidRPr="0087024E">
        <w:rPr>
          <w:rFonts w:ascii="Garamond" w:eastAsia="Times New Roman" w:hAnsi="Garamond"/>
          <w:lang w:eastAsia="pt-BR"/>
        </w:rPr>
        <w:t>Afsar</w:t>
      </w:r>
      <w:proofErr w:type="spellEnd"/>
      <w:r w:rsidRPr="0087024E">
        <w:rPr>
          <w:rFonts w:ascii="Garamond" w:eastAsia="Times New Roman" w:hAnsi="Garamond"/>
          <w:lang w:eastAsia="pt-BR"/>
        </w:rPr>
        <w:t xml:space="preserve"> et al., 2019; Duffy et al., 2022; </w:t>
      </w:r>
      <w:proofErr w:type="spellStart"/>
      <w:r w:rsidRPr="00295646">
        <w:rPr>
          <w:rFonts w:ascii="Garamond" w:eastAsia="Times New Roman" w:hAnsi="Garamond"/>
          <w:lang w:eastAsia="pt-BR"/>
        </w:rPr>
        <w:t>Ghosh</w:t>
      </w:r>
      <w:proofErr w:type="spellEnd"/>
      <w:r w:rsidRPr="00295646">
        <w:rPr>
          <w:rFonts w:ascii="Garamond" w:eastAsia="Times New Roman" w:hAnsi="Garamond"/>
          <w:lang w:eastAsia="pt-BR"/>
        </w:rPr>
        <w:t xml:space="preserve"> &amp;</w:t>
      </w:r>
      <w:r w:rsidRPr="0087024E">
        <w:rPr>
          <w:rFonts w:ascii="Garamond" w:eastAsia="Times New Roman" w:hAnsi="Garamond"/>
          <w:lang w:eastAsia="pt-BR"/>
        </w:rPr>
        <w:t xml:space="preserve"> Malik, 2024) e, por outro lado, são escassos os estudos sobre chamado ocupacional no contexto brasileiro (Nunes &amp; Felix, 2019; Felix &amp; </w:t>
      </w:r>
      <w:proofErr w:type="spellStart"/>
      <w:r w:rsidRPr="0087024E">
        <w:rPr>
          <w:rFonts w:ascii="Garamond" w:eastAsia="Times New Roman" w:hAnsi="Garamond"/>
          <w:lang w:eastAsia="pt-BR"/>
        </w:rPr>
        <w:t>Blulm</w:t>
      </w:r>
      <w:proofErr w:type="spellEnd"/>
      <w:r w:rsidRPr="0087024E">
        <w:rPr>
          <w:rFonts w:ascii="Garamond" w:eastAsia="Times New Roman" w:hAnsi="Garamond"/>
          <w:lang w:eastAsia="pt-BR"/>
        </w:rPr>
        <w:t>, 2020). Destaca-se que na literatura sobre chamados ocupacionais, um dos construtos que tem sido explorado é o de perceber um chamado (</w:t>
      </w:r>
      <w:proofErr w:type="spellStart"/>
      <w:r w:rsidRPr="0087024E">
        <w:rPr>
          <w:rFonts w:ascii="Garamond" w:eastAsia="Times New Roman" w:hAnsi="Garamond"/>
          <w:lang w:eastAsia="pt-BR"/>
        </w:rPr>
        <w:t>Dik</w:t>
      </w:r>
      <w:proofErr w:type="spellEnd"/>
      <w:r w:rsidRPr="0087024E">
        <w:rPr>
          <w:rFonts w:ascii="Garamond" w:eastAsia="Times New Roman" w:hAnsi="Garamond"/>
          <w:lang w:eastAsia="pt-BR"/>
        </w:rPr>
        <w:t xml:space="preserve"> &amp; Duffy, 2009; Duffy et al., 2018). Desta forma, perceber um chamado pode ser definido sobre entender o trabalho como um propósito, uma forma de contribuir com o bem comum da sociedade, podendo ser motivado por fatores internos ou externos (</w:t>
      </w:r>
      <w:proofErr w:type="spellStart"/>
      <w:r w:rsidRPr="0087024E">
        <w:rPr>
          <w:rFonts w:ascii="Garamond" w:eastAsia="Times New Roman" w:hAnsi="Garamond"/>
          <w:lang w:eastAsia="pt-BR"/>
        </w:rPr>
        <w:t>Dik</w:t>
      </w:r>
      <w:proofErr w:type="spellEnd"/>
      <w:r w:rsidRPr="0087024E">
        <w:rPr>
          <w:rFonts w:ascii="Garamond" w:eastAsia="Times New Roman" w:hAnsi="Garamond"/>
          <w:lang w:eastAsia="pt-BR"/>
        </w:rPr>
        <w:t xml:space="preserve"> &amp; Duffy, 2009; Duffy et al., 2018; Felix &amp; Papaleo, 2021). </w:t>
      </w:r>
    </w:p>
    <w:p w14:paraId="63C6B291" w14:textId="73A46A8E" w:rsidR="009F6351" w:rsidRDefault="0087024E" w:rsidP="0087024E">
      <w:pPr>
        <w:autoSpaceDE w:val="0"/>
        <w:autoSpaceDN w:val="0"/>
        <w:adjustRightInd w:val="0"/>
        <w:jc w:val="both"/>
        <w:rPr>
          <w:rFonts w:ascii="Garamond" w:eastAsia="Times New Roman" w:hAnsi="Garamond"/>
          <w:lang w:eastAsia="pt-BR"/>
        </w:rPr>
      </w:pPr>
      <w:r w:rsidRPr="0087024E">
        <w:rPr>
          <w:rFonts w:ascii="Garamond" w:eastAsia="Times New Roman" w:hAnsi="Garamond"/>
          <w:lang w:eastAsia="pt-BR"/>
        </w:rPr>
        <w:t>Entretanto, as consequências de se perceber um chamado, geralmente são vistas como positivas, porém, em alguns casos, também podem levar a uma idealização quanto a seu futuro e, assim, conduzir à frustração (</w:t>
      </w:r>
      <w:proofErr w:type="spellStart"/>
      <w:r w:rsidRPr="0087024E">
        <w:rPr>
          <w:rFonts w:ascii="Garamond" w:eastAsia="Times New Roman" w:hAnsi="Garamond"/>
          <w:lang w:eastAsia="pt-BR"/>
        </w:rPr>
        <w:t>Gazica</w:t>
      </w:r>
      <w:proofErr w:type="spellEnd"/>
      <w:r w:rsidRPr="0087024E">
        <w:rPr>
          <w:rFonts w:ascii="Garamond" w:eastAsia="Times New Roman" w:hAnsi="Garamond"/>
          <w:lang w:eastAsia="pt-BR"/>
        </w:rPr>
        <w:t xml:space="preserve"> &amp; Spector, 2015), além disso, verificou-se que perceber um chamado tende a diminuir as opções de empregabilidade do indivíduo (Felix &amp; Papaleo, 2021). Entretanto, no geral, </w:t>
      </w:r>
      <w:r w:rsidRPr="0087024E">
        <w:rPr>
          <w:rFonts w:ascii="Garamond" w:eastAsia="Times New Roman" w:hAnsi="Garamond"/>
          <w:lang w:eastAsia="pt-BR"/>
        </w:rPr>
        <w:lastRenderedPageBreak/>
        <w:t xml:space="preserve">estudos mostraram que perceber um chamado tem resultados positivos e, está positivamente relacionado com diversos resultados como satisfação no trabalho (Nunes &amp; Felix, 2019; </w:t>
      </w:r>
      <w:proofErr w:type="spellStart"/>
      <w:r w:rsidRPr="0087024E">
        <w:rPr>
          <w:rFonts w:ascii="Garamond" w:eastAsia="Times New Roman" w:hAnsi="Garamond"/>
          <w:lang w:eastAsia="pt-BR"/>
        </w:rPr>
        <w:t>Hirschi</w:t>
      </w:r>
      <w:proofErr w:type="spellEnd"/>
      <w:r w:rsidRPr="0087024E">
        <w:rPr>
          <w:rFonts w:ascii="Garamond" w:eastAsia="Times New Roman" w:hAnsi="Garamond"/>
          <w:lang w:eastAsia="pt-BR"/>
        </w:rPr>
        <w:t xml:space="preserve"> et al., 2019), ao desenvolvimento de um significado da vida (</w:t>
      </w:r>
      <w:proofErr w:type="spellStart"/>
      <w:r w:rsidRPr="0087024E">
        <w:rPr>
          <w:rFonts w:ascii="Garamond" w:eastAsia="Times New Roman" w:hAnsi="Garamond"/>
          <w:lang w:eastAsia="pt-BR"/>
        </w:rPr>
        <w:t>Dik</w:t>
      </w:r>
      <w:proofErr w:type="spellEnd"/>
      <w:r w:rsidRPr="0087024E">
        <w:rPr>
          <w:rFonts w:ascii="Garamond" w:eastAsia="Times New Roman" w:hAnsi="Garamond"/>
          <w:lang w:eastAsia="pt-BR"/>
        </w:rPr>
        <w:t xml:space="preserve"> &amp; Duffy, 2009; Duffy et al., 2018), a satisfação com a vida (</w:t>
      </w:r>
      <w:proofErr w:type="spellStart"/>
      <w:r w:rsidRPr="0087024E">
        <w:rPr>
          <w:rFonts w:ascii="Garamond" w:eastAsia="Times New Roman" w:hAnsi="Garamond"/>
          <w:lang w:eastAsia="pt-BR"/>
        </w:rPr>
        <w:t>Hirschi</w:t>
      </w:r>
      <w:proofErr w:type="spellEnd"/>
      <w:r w:rsidRPr="0087024E">
        <w:rPr>
          <w:rFonts w:ascii="Garamond" w:eastAsia="Times New Roman" w:hAnsi="Garamond"/>
          <w:lang w:eastAsia="pt-BR"/>
        </w:rPr>
        <w:t xml:space="preserve"> et al., 2019), ao bem-estar existencial (</w:t>
      </w:r>
      <w:proofErr w:type="spellStart"/>
      <w:r w:rsidRPr="0087024E">
        <w:rPr>
          <w:rFonts w:ascii="Garamond" w:eastAsia="Times New Roman" w:hAnsi="Garamond"/>
          <w:lang w:eastAsia="pt-BR"/>
        </w:rPr>
        <w:t>Steger</w:t>
      </w:r>
      <w:proofErr w:type="spellEnd"/>
      <w:r w:rsidRPr="0087024E">
        <w:rPr>
          <w:rFonts w:ascii="Garamond" w:eastAsia="Times New Roman" w:hAnsi="Garamond"/>
          <w:lang w:eastAsia="pt-BR"/>
        </w:rPr>
        <w:t xml:space="preserve"> et al., 2010)</w:t>
      </w:r>
      <w:r w:rsidR="002C626D">
        <w:rPr>
          <w:rFonts w:ascii="Garamond" w:eastAsia="Times New Roman" w:hAnsi="Garamond"/>
          <w:lang w:eastAsia="pt-BR"/>
        </w:rPr>
        <w:t xml:space="preserve"> e </w:t>
      </w:r>
      <w:r w:rsidRPr="0087024E">
        <w:rPr>
          <w:rFonts w:ascii="Garamond" w:eastAsia="Times New Roman" w:hAnsi="Garamond"/>
          <w:lang w:eastAsia="pt-BR"/>
        </w:rPr>
        <w:t>ao comprometimento com a carreira (</w:t>
      </w:r>
      <w:proofErr w:type="spellStart"/>
      <w:r w:rsidRPr="0087024E">
        <w:rPr>
          <w:rFonts w:ascii="Garamond" w:eastAsia="Times New Roman" w:hAnsi="Garamond"/>
          <w:lang w:eastAsia="pt-BR"/>
        </w:rPr>
        <w:t>Gazica</w:t>
      </w:r>
      <w:proofErr w:type="spellEnd"/>
      <w:r w:rsidRPr="0087024E">
        <w:rPr>
          <w:rFonts w:ascii="Garamond" w:eastAsia="Times New Roman" w:hAnsi="Garamond"/>
          <w:lang w:eastAsia="pt-BR"/>
        </w:rPr>
        <w:t xml:space="preserve"> &amp; Spector, 2015</w:t>
      </w:r>
      <w:r w:rsidR="002C626D">
        <w:rPr>
          <w:rFonts w:ascii="Garamond" w:eastAsia="Times New Roman" w:hAnsi="Garamond"/>
          <w:lang w:eastAsia="pt-BR"/>
        </w:rPr>
        <w:t>)</w:t>
      </w:r>
      <w:r w:rsidRPr="0087024E">
        <w:rPr>
          <w:rFonts w:ascii="Garamond" w:eastAsia="Times New Roman" w:hAnsi="Garamond"/>
          <w:lang w:eastAsia="pt-BR"/>
        </w:rPr>
        <w:t>. Entretanto, estas relações diretas foram testadas de forma individual e não em conjunto como é proposto aqui. Desta forma, a seguir apresentam-se as relações e as hipóteses propostas para este estudo</w:t>
      </w:r>
      <w:r>
        <w:rPr>
          <w:rFonts w:ascii="Garamond" w:eastAsia="Times New Roman" w:hAnsi="Garamond"/>
          <w:lang w:eastAsia="pt-BR"/>
        </w:rPr>
        <w:t>.</w:t>
      </w:r>
    </w:p>
    <w:p w14:paraId="3CB9622C" w14:textId="2FC139F1" w:rsidR="00DF4DC9" w:rsidRDefault="00694611" w:rsidP="0087024E">
      <w:pPr>
        <w:autoSpaceDE w:val="0"/>
        <w:autoSpaceDN w:val="0"/>
        <w:adjustRightInd w:val="0"/>
        <w:jc w:val="both"/>
        <w:rPr>
          <w:rFonts w:ascii="Garamond" w:eastAsia="Times New Roman" w:hAnsi="Garamond"/>
          <w:lang w:eastAsia="pt-BR"/>
        </w:rPr>
      </w:pPr>
      <w:r w:rsidRPr="00694611">
        <w:rPr>
          <w:rFonts w:ascii="Garamond" w:hAnsi="Garamond"/>
          <w:b/>
          <w:sz w:val="28"/>
          <w:szCs w:val="28"/>
          <w:lang w:eastAsia="pt-BR"/>
        </w:rPr>
        <w:t>Perceber um chamado e a satisfação no trabalho</w:t>
      </w:r>
    </w:p>
    <w:p w14:paraId="0E00D920" w14:textId="77777777" w:rsidR="00554DBA" w:rsidRPr="00554DBA" w:rsidRDefault="00554DBA" w:rsidP="00554DBA">
      <w:pPr>
        <w:autoSpaceDE w:val="0"/>
        <w:autoSpaceDN w:val="0"/>
        <w:adjustRightInd w:val="0"/>
        <w:jc w:val="both"/>
        <w:rPr>
          <w:rFonts w:ascii="Garamond" w:eastAsia="Times New Roman" w:hAnsi="Garamond"/>
          <w:lang w:eastAsia="pt-BR"/>
        </w:rPr>
      </w:pPr>
      <w:r w:rsidRPr="00554DBA">
        <w:rPr>
          <w:rFonts w:ascii="Garamond" w:eastAsia="Times New Roman" w:hAnsi="Garamond"/>
          <w:lang w:eastAsia="pt-BR"/>
        </w:rPr>
        <w:t xml:space="preserve">A satisfação no trabalho pode ser definida como um resultado positivo da avaliação emocional do trabalhador com relação ao seu trabalho, conforme os valores do próprio trabalhador (Morris &amp; </w:t>
      </w:r>
      <w:proofErr w:type="spellStart"/>
      <w:r w:rsidRPr="00554DBA">
        <w:rPr>
          <w:rFonts w:ascii="Garamond" w:eastAsia="Times New Roman" w:hAnsi="Garamond"/>
          <w:lang w:eastAsia="pt-BR"/>
        </w:rPr>
        <w:t>Venkatesh</w:t>
      </w:r>
      <w:proofErr w:type="spellEnd"/>
      <w:r w:rsidRPr="00554DBA">
        <w:rPr>
          <w:rFonts w:ascii="Garamond" w:eastAsia="Times New Roman" w:hAnsi="Garamond"/>
          <w:lang w:eastAsia="pt-BR"/>
        </w:rPr>
        <w:t xml:space="preserve">, 2010). A satisfação no trabalho é o resultado da influência de várias características presentes no ambiente laboral, como demandas e recompensas percebidas, pagamento, condições de trabalho e treinamentos (Janssen, 2001; Cherif, 2020). Adicionalmente a isso, a satisfação no trabalho pode ser vista como uma orientação afetiva de um indivíduo em relação ao papel desempenhado no trabalho, e está ligada ao comportamento deste no local de trabalho (Cherif, 2020). Assim, a satisfação no trabalho pode ser relacionada com diversos resultados importantes, de forma que, quando em altos níveis, tende a aumentar a produtividade dos trabalhadores; já baixos níveis de satisfação podem aumentar as intenções de rotatividade e absenteísmo (Morris &amp; </w:t>
      </w:r>
      <w:proofErr w:type="spellStart"/>
      <w:r w:rsidRPr="00554DBA">
        <w:rPr>
          <w:rFonts w:ascii="Garamond" w:eastAsia="Times New Roman" w:hAnsi="Garamond"/>
          <w:lang w:eastAsia="pt-BR"/>
        </w:rPr>
        <w:t>Venkatesh</w:t>
      </w:r>
      <w:proofErr w:type="spellEnd"/>
      <w:r w:rsidRPr="00554DBA">
        <w:rPr>
          <w:rFonts w:ascii="Garamond" w:eastAsia="Times New Roman" w:hAnsi="Garamond"/>
          <w:lang w:eastAsia="pt-BR"/>
        </w:rPr>
        <w:t>, 2010; Cherif, 2020).</w:t>
      </w:r>
    </w:p>
    <w:p w14:paraId="51965A52" w14:textId="77777777" w:rsidR="00554DBA" w:rsidRPr="00554DBA" w:rsidRDefault="00554DBA" w:rsidP="00554DBA">
      <w:pPr>
        <w:autoSpaceDE w:val="0"/>
        <w:autoSpaceDN w:val="0"/>
        <w:adjustRightInd w:val="0"/>
        <w:jc w:val="both"/>
        <w:rPr>
          <w:rFonts w:ascii="Garamond" w:eastAsia="Times New Roman" w:hAnsi="Garamond"/>
          <w:lang w:eastAsia="pt-BR"/>
        </w:rPr>
      </w:pPr>
      <w:r w:rsidRPr="00554DBA">
        <w:rPr>
          <w:rFonts w:ascii="Garamond" w:eastAsia="Times New Roman" w:hAnsi="Garamond"/>
          <w:lang w:eastAsia="pt-BR"/>
        </w:rPr>
        <w:t>Além disso, vários pesquisadores sugerem que perceber um chamado está associado positivamente à satisfação no trabalho (</w:t>
      </w:r>
      <w:proofErr w:type="spellStart"/>
      <w:r w:rsidRPr="00554DBA">
        <w:rPr>
          <w:rFonts w:ascii="Garamond" w:eastAsia="Times New Roman" w:hAnsi="Garamond"/>
          <w:lang w:eastAsia="pt-BR"/>
        </w:rPr>
        <w:t>Hirschi</w:t>
      </w:r>
      <w:proofErr w:type="spellEnd"/>
      <w:r w:rsidRPr="00554DBA">
        <w:rPr>
          <w:rFonts w:ascii="Garamond" w:eastAsia="Times New Roman" w:hAnsi="Garamond"/>
          <w:lang w:eastAsia="pt-BR"/>
        </w:rPr>
        <w:t xml:space="preserve"> et al., 2019; Nunes &amp; Felix, 2019). Para </w:t>
      </w:r>
      <w:proofErr w:type="spellStart"/>
      <w:r w:rsidRPr="00554DBA">
        <w:rPr>
          <w:rFonts w:ascii="Garamond" w:eastAsia="Times New Roman" w:hAnsi="Garamond"/>
          <w:lang w:eastAsia="pt-BR"/>
        </w:rPr>
        <w:t>Hirschi</w:t>
      </w:r>
      <w:proofErr w:type="spellEnd"/>
      <w:r w:rsidRPr="00554DBA">
        <w:rPr>
          <w:rFonts w:ascii="Garamond" w:eastAsia="Times New Roman" w:hAnsi="Garamond"/>
          <w:lang w:eastAsia="pt-BR"/>
        </w:rPr>
        <w:t xml:space="preserve"> et al. (2019) a presença de um chamado é como uma faca de dois gumes, por um lado mostra que trabalhadores mais velhos que experimentam o aumento da presença de um chamado tendem a ter um aumento na experiência afetiva de forma positiva no trabalho, por outro lado, aumenta também a tendência para o </w:t>
      </w:r>
      <w:proofErr w:type="spellStart"/>
      <w:r w:rsidRPr="00A92EE4">
        <w:rPr>
          <w:rFonts w:ascii="Garamond" w:eastAsia="Times New Roman" w:hAnsi="Garamond"/>
          <w:i/>
          <w:iCs/>
          <w:lang w:eastAsia="pt-BR"/>
        </w:rPr>
        <w:t>workaholism</w:t>
      </w:r>
      <w:proofErr w:type="spellEnd"/>
      <w:r w:rsidRPr="00554DBA">
        <w:rPr>
          <w:rFonts w:ascii="Garamond" w:eastAsia="Times New Roman" w:hAnsi="Garamond"/>
          <w:lang w:eastAsia="pt-BR"/>
        </w:rPr>
        <w:t>.</w:t>
      </w:r>
    </w:p>
    <w:p w14:paraId="1013D063" w14:textId="77777777" w:rsidR="00554DBA" w:rsidRPr="00554DBA" w:rsidRDefault="00554DBA" w:rsidP="00554DBA">
      <w:pPr>
        <w:autoSpaceDE w:val="0"/>
        <w:autoSpaceDN w:val="0"/>
        <w:adjustRightInd w:val="0"/>
        <w:jc w:val="both"/>
        <w:rPr>
          <w:rFonts w:ascii="Garamond" w:eastAsia="Times New Roman" w:hAnsi="Garamond"/>
          <w:lang w:eastAsia="pt-BR"/>
        </w:rPr>
      </w:pPr>
      <w:r w:rsidRPr="00554DBA">
        <w:rPr>
          <w:rFonts w:ascii="Garamond" w:eastAsia="Times New Roman" w:hAnsi="Garamond"/>
          <w:lang w:eastAsia="pt-BR"/>
        </w:rPr>
        <w:t xml:space="preserve">Assim, ainda outra explicação para tal associação seria a seguinte: ao interpretar o trabalho como um chamado, indivíduos tendem a adotar um olhar mais otimista em relação as suas trajetórias de carreira, pois se encontram orientados para a construção de um ideal de trabalho futuro (Felix &amp; </w:t>
      </w:r>
      <w:proofErr w:type="spellStart"/>
      <w:r w:rsidRPr="00554DBA">
        <w:rPr>
          <w:rFonts w:ascii="Garamond" w:eastAsia="Times New Roman" w:hAnsi="Garamond"/>
          <w:lang w:eastAsia="pt-BR"/>
        </w:rPr>
        <w:t>Cavazotte</w:t>
      </w:r>
      <w:proofErr w:type="spellEnd"/>
      <w:r w:rsidRPr="00554DBA">
        <w:rPr>
          <w:rFonts w:ascii="Garamond" w:eastAsia="Times New Roman" w:hAnsi="Garamond"/>
          <w:lang w:eastAsia="pt-BR"/>
        </w:rPr>
        <w:t xml:space="preserve">, 2019). Isso quer dizer, ao se depararem com eventos negativos no trabalho, tendem a empregar um olhar mais tolerante e menos crítico, possivelmente influenciados por uma visão individual mais </w:t>
      </w:r>
      <w:proofErr w:type="spellStart"/>
      <w:r w:rsidRPr="00554DBA">
        <w:rPr>
          <w:rFonts w:ascii="Garamond" w:eastAsia="Times New Roman" w:hAnsi="Garamond"/>
          <w:lang w:eastAsia="pt-BR"/>
        </w:rPr>
        <w:t>agêntica</w:t>
      </w:r>
      <w:proofErr w:type="spellEnd"/>
      <w:r w:rsidRPr="00554DBA">
        <w:rPr>
          <w:rFonts w:ascii="Garamond" w:eastAsia="Times New Roman" w:hAnsi="Garamond"/>
          <w:lang w:eastAsia="pt-BR"/>
        </w:rPr>
        <w:t xml:space="preserve"> e menos estruturalista quanto à carreira (Eva et al., 2020).</w:t>
      </w:r>
    </w:p>
    <w:p w14:paraId="632E1C36" w14:textId="5B5271CA" w:rsidR="00554DBA" w:rsidRPr="00554DBA" w:rsidRDefault="00554DBA" w:rsidP="00554DBA">
      <w:pPr>
        <w:autoSpaceDE w:val="0"/>
        <w:autoSpaceDN w:val="0"/>
        <w:adjustRightInd w:val="0"/>
        <w:jc w:val="both"/>
        <w:rPr>
          <w:rFonts w:ascii="Garamond" w:eastAsia="Times New Roman" w:hAnsi="Garamond"/>
          <w:lang w:eastAsia="pt-BR"/>
        </w:rPr>
      </w:pPr>
      <w:r w:rsidRPr="00554DBA">
        <w:rPr>
          <w:rFonts w:ascii="Garamond" w:eastAsia="Times New Roman" w:hAnsi="Garamond"/>
          <w:lang w:eastAsia="pt-BR"/>
        </w:rPr>
        <w:t>Desta forma, o simples ato de ver o trabalho como um chamado parece ter um papel não somente de transformar a natureza do trabalho desempenhado em si, mas também de levar o indivíduo a ter uma visão mais tolerante e menos crítica em relação às pessoas com as quais interagem no trabalho e na organização (Duffy et al., 2016) e, assim, possivelmente levando a uma maior satisfação no trabalho (</w:t>
      </w:r>
      <w:proofErr w:type="spellStart"/>
      <w:r w:rsidRPr="00554DBA">
        <w:rPr>
          <w:rFonts w:ascii="Garamond" w:eastAsia="Times New Roman" w:hAnsi="Garamond"/>
          <w:lang w:eastAsia="pt-BR"/>
        </w:rPr>
        <w:t>Hirschi</w:t>
      </w:r>
      <w:proofErr w:type="spellEnd"/>
      <w:r w:rsidRPr="00554DBA">
        <w:rPr>
          <w:rFonts w:ascii="Garamond" w:eastAsia="Times New Roman" w:hAnsi="Garamond"/>
          <w:lang w:eastAsia="pt-BR"/>
        </w:rPr>
        <w:t xml:space="preserve"> et al., 2019; Nunes &amp; Felix, 2019; Soares et al., 202</w:t>
      </w:r>
      <w:r w:rsidR="00501C05">
        <w:rPr>
          <w:rFonts w:ascii="Garamond" w:eastAsia="Times New Roman" w:hAnsi="Garamond"/>
          <w:lang w:eastAsia="pt-BR"/>
        </w:rPr>
        <w:t>3</w:t>
      </w:r>
      <w:r w:rsidRPr="00554DBA">
        <w:rPr>
          <w:rFonts w:ascii="Garamond" w:eastAsia="Times New Roman" w:hAnsi="Garamond"/>
          <w:lang w:eastAsia="pt-BR"/>
        </w:rPr>
        <w:t>). Isto posto, propõe-se que:</w:t>
      </w:r>
    </w:p>
    <w:p w14:paraId="7A49CD95" w14:textId="7AFD30EF" w:rsidR="00DF4DC9" w:rsidRDefault="00554DBA" w:rsidP="00554DBA">
      <w:pPr>
        <w:autoSpaceDE w:val="0"/>
        <w:autoSpaceDN w:val="0"/>
        <w:adjustRightInd w:val="0"/>
        <w:jc w:val="both"/>
        <w:rPr>
          <w:rFonts w:ascii="Garamond" w:eastAsia="Times New Roman" w:hAnsi="Garamond"/>
          <w:lang w:eastAsia="pt-BR"/>
        </w:rPr>
      </w:pPr>
      <w:r w:rsidRPr="00554DBA">
        <w:rPr>
          <w:rFonts w:ascii="Garamond" w:eastAsia="Times New Roman" w:hAnsi="Garamond"/>
          <w:lang w:eastAsia="pt-BR"/>
        </w:rPr>
        <w:t>H1a: A percepção de um chamado influencia positivamente à satisfação no trabalho.</w:t>
      </w:r>
    </w:p>
    <w:p w14:paraId="52C56271" w14:textId="25D21856" w:rsidR="00554DBA" w:rsidRDefault="0066611B" w:rsidP="00554DBA">
      <w:pPr>
        <w:autoSpaceDE w:val="0"/>
        <w:autoSpaceDN w:val="0"/>
        <w:adjustRightInd w:val="0"/>
        <w:jc w:val="both"/>
        <w:rPr>
          <w:rFonts w:ascii="Garamond" w:eastAsia="Times New Roman" w:hAnsi="Garamond"/>
          <w:lang w:eastAsia="pt-BR"/>
        </w:rPr>
      </w:pPr>
      <w:r w:rsidRPr="0066611B">
        <w:rPr>
          <w:rFonts w:ascii="Garamond" w:hAnsi="Garamond"/>
          <w:b/>
          <w:sz w:val="28"/>
          <w:szCs w:val="28"/>
          <w:lang w:eastAsia="pt-BR"/>
        </w:rPr>
        <w:t>Perceber um chamado e a satisfação com a vida</w:t>
      </w:r>
    </w:p>
    <w:p w14:paraId="0987089E" w14:textId="022EEA1B" w:rsidR="0060593D" w:rsidRPr="0060593D" w:rsidRDefault="0060593D" w:rsidP="0060593D">
      <w:pPr>
        <w:autoSpaceDE w:val="0"/>
        <w:autoSpaceDN w:val="0"/>
        <w:adjustRightInd w:val="0"/>
        <w:jc w:val="both"/>
        <w:rPr>
          <w:rFonts w:ascii="Garamond" w:eastAsia="Times New Roman" w:hAnsi="Garamond"/>
          <w:lang w:eastAsia="pt-BR"/>
        </w:rPr>
      </w:pPr>
      <w:r w:rsidRPr="0060593D">
        <w:rPr>
          <w:rFonts w:ascii="Garamond" w:eastAsia="Times New Roman" w:hAnsi="Garamond"/>
          <w:lang w:eastAsia="pt-BR"/>
        </w:rPr>
        <w:t>A satisfação com a vida pode ser definida como uma avaliação da qualidade de vida de acordo com os critérios de um indivíduo para sua existência, desta forma, pode-se dizer que se trata de um conceito subjetivo, para o qual não existe uma regra geral, ou seja, cada pessoa atribui valores diferentes para sua satisfação com a vida (</w:t>
      </w:r>
      <w:proofErr w:type="spellStart"/>
      <w:r w:rsidRPr="0060593D">
        <w:rPr>
          <w:rFonts w:ascii="Garamond" w:eastAsia="Times New Roman" w:hAnsi="Garamond"/>
          <w:lang w:eastAsia="pt-BR"/>
        </w:rPr>
        <w:t>Diener</w:t>
      </w:r>
      <w:proofErr w:type="spellEnd"/>
      <w:r w:rsidR="00DF1AC4" w:rsidRPr="00DF1AC4">
        <w:rPr>
          <w:rFonts w:ascii="Garamond" w:eastAsia="Times New Roman" w:hAnsi="Garamond"/>
          <w:lang w:eastAsia="pt-BR"/>
        </w:rPr>
        <w:t xml:space="preserve"> </w:t>
      </w:r>
      <w:r w:rsidR="00DF1AC4" w:rsidRPr="00E02F46">
        <w:rPr>
          <w:rFonts w:ascii="Garamond" w:eastAsia="Times New Roman" w:hAnsi="Garamond"/>
          <w:lang w:eastAsia="pt-BR"/>
        </w:rPr>
        <w:t>et al.</w:t>
      </w:r>
      <w:r w:rsidRPr="0060593D">
        <w:rPr>
          <w:rFonts w:ascii="Garamond" w:eastAsia="Times New Roman" w:hAnsi="Garamond"/>
          <w:lang w:eastAsia="pt-BR"/>
        </w:rPr>
        <w:t>, 1985). Adicionalmente a isso, a satisfação com a vida pode ser definida como a satisfação com todos os aspectos da vida diária do indivíduo (Rashid</w:t>
      </w:r>
      <w:r w:rsidR="00DF1AC4" w:rsidRPr="00DF1AC4">
        <w:rPr>
          <w:rFonts w:ascii="Garamond" w:eastAsia="Times New Roman" w:hAnsi="Garamond"/>
          <w:lang w:eastAsia="pt-BR"/>
        </w:rPr>
        <w:t xml:space="preserve"> </w:t>
      </w:r>
      <w:r w:rsidR="00DF1AC4" w:rsidRPr="00E02F46">
        <w:rPr>
          <w:rFonts w:ascii="Garamond" w:eastAsia="Times New Roman" w:hAnsi="Garamond"/>
          <w:lang w:eastAsia="pt-BR"/>
        </w:rPr>
        <w:t>et al.</w:t>
      </w:r>
      <w:r w:rsidRPr="0060593D">
        <w:rPr>
          <w:rFonts w:ascii="Garamond" w:eastAsia="Times New Roman" w:hAnsi="Garamond"/>
          <w:lang w:eastAsia="pt-BR"/>
        </w:rPr>
        <w:t xml:space="preserve">, 2021). Assim, a literatura sugere que há uma relação positiva entre perceber um chamado e satisfação com a vida, de forma que trabalhadores que percebem um chamado frequentemente possuem altos níveis de felicidade e satisfação com a vida (Duffy et al., 2017), o que foi corroborado no estudo de Duffy et al. </w:t>
      </w:r>
      <w:r w:rsidRPr="0060593D">
        <w:rPr>
          <w:rFonts w:ascii="Garamond" w:eastAsia="Times New Roman" w:hAnsi="Garamond"/>
          <w:lang w:eastAsia="pt-BR"/>
        </w:rPr>
        <w:lastRenderedPageBreak/>
        <w:t xml:space="preserve">(2022) que identificaram que ter e viver um chamado está correlacionado com satisfação com a vida. </w:t>
      </w:r>
    </w:p>
    <w:p w14:paraId="1C625949" w14:textId="460A1B76" w:rsidR="0060593D" w:rsidRPr="0060593D" w:rsidRDefault="0060593D" w:rsidP="0060593D">
      <w:pPr>
        <w:autoSpaceDE w:val="0"/>
        <w:autoSpaceDN w:val="0"/>
        <w:adjustRightInd w:val="0"/>
        <w:jc w:val="both"/>
        <w:rPr>
          <w:rFonts w:ascii="Garamond" w:eastAsia="Times New Roman" w:hAnsi="Garamond"/>
          <w:lang w:eastAsia="pt-BR"/>
        </w:rPr>
      </w:pPr>
      <w:r w:rsidRPr="0060593D">
        <w:rPr>
          <w:rFonts w:ascii="Garamond" w:eastAsia="Times New Roman" w:hAnsi="Garamond"/>
          <w:lang w:eastAsia="pt-BR"/>
        </w:rPr>
        <w:t>Em geral, trabalhadores que percebem seu trabalho como um chamado tendem a ter resultados positivos no trabalho e na vida, como: comprometimento com o trabalho, significado com o trabalho e satisfação com a vida (</w:t>
      </w:r>
      <w:proofErr w:type="spellStart"/>
      <w:r w:rsidRPr="0060593D">
        <w:rPr>
          <w:rFonts w:ascii="Garamond" w:eastAsia="Times New Roman" w:hAnsi="Garamond"/>
          <w:lang w:eastAsia="pt-BR"/>
        </w:rPr>
        <w:t>Hirschi</w:t>
      </w:r>
      <w:proofErr w:type="spellEnd"/>
      <w:r w:rsidRPr="0060593D">
        <w:rPr>
          <w:rFonts w:ascii="Garamond" w:eastAsia="Times New Roman" w:hAnsi="Garamond"/>
          <w:lang w:eastAsia="pt-BR"/>
        </w:rPr>
        <w:t xml:space="preserve"> et al., 2019). Isto ocorreria porque a percepção de um chamado possibilita a criação de uma visão mais otimista, que torna os indivíduos mais positivos diante dos fatos que se apresentam no trabalho e na vida (</w:t>
      </w:r>
      <w:proofErr w:type="spellStart"/>
      <w:r w:rsidRPr="0060593D">
        <w:rPr>
          <w:rFonts w:ascii="Garamond" w:eastAsia="Times New Roman" w:hAnsi="Garamond"/>
          <w:lang w:eastAsia="pt-BR"/>
        </w:rPr>
        <w:t>Dik</w:t>
      </w:r>
      <w:proofErr w:type="spellEnd"/>
      <w:r w:rsidRPr="0060593D">
        <w:rPr>
          <w:rFonts w:ascii="Garamond" w:eastAsia="Times New Roman" w:hAnsi="Garamond"/>
          <w:lang w:eastAsia="pt-BR"/>
        </w:rPr>
        <w:t xml:space="preserve"> &amp; Duffy, 2009), podendo assim, levar a uma maior satisfação com a vida (</w:t>
      </w:r>
      <w:proofErr w:type="spellStart"/>
      <w:r w:rsidRPr="0060593D">
        <w:rPr>
          <w:rFonts w:ascii="Garamond" w:eastAsia="Times New Roman" w:hAnsi="Garamond"/>
          <w:lang w:eastAsia="pt-BR"/>
        </w:rPr>
        <w:t>Dik</w:t>
      </w:r>
      <w:proofErr w:type="spellEnd"/>
      <w:r w:rsidRPr="0060593D">
        <w:rPr>
          <w:rFonts w:ascii="Garamond" w:eastAsia="Times New Roman" w:hAnsi="Garamond"/>
          <w:lang w:eastAsia="pt-BR"/>
        </w:rPr>
        <w:t xml:space="preserve"> &amp; Duffy, 2009; </w:t>
      </w:r>
      <w:proofErr w:type="spellStart"/>
      <w:r w:rsidRPr="0060593D">
        <w:rPr>
          <w:rFonts w:ascii="Garamond" w:eastAsia="Times New Roman" w:hAnsi="Garamond"/>
          <w:lang w:eastAsia="pt-BR"/>
        </w:rPr>
        <w:t>Hirschi</w:t>
      </w:r>
      <w:proofErr w:type="spellEnd"/>
      <w:r w:rsidRPr="0060593D">
        <w:rPr>
          <w:rFonts w:ascii="Garamond" w:eastAsia="Times New Roman" w:hAnsi="Garamond"/>
          <w:lang w:eastAsia="pt-BR"/>
        </w:rPr>
        <w:t xml:space="preserve"> et al., 2019; Duffy</w:t>
      </w:r>
      <w:r w:rsidR="00026D29">
        <w:rPr>
          <w:rFonts w:ascii="Garamond" w:eastAsia="Times New Roman" w:hAnsi="Garamond"/>
          <w:lang w:eastAsia="pt-BR"/>
        </w:rPr>
        <w:t xml:space="preserve"> </w:t>
      </w:r>
      <w:r w:rsidR="00026D29" w:rsidRPr="00E02F46">
        <w:rPr>
          <w:rFonts w:ascii="Garamond" w:eastAsia="Times New Roman" w:hAnsi="Garamond"/>
          <w:lang w:eastAsia="pt-BR"/>
        </w:rPr>
        <w:t>et al.</w:t>
      </w:r>
      <w:r w:rsidRPr="0060593D">
        <w:rPr>
          <w:rFonts w:ascii="Garamond" w:eastAsia="Times New Roman" w:hAnsi="Garamond"/>
          <w:lang w:eastAsia="pt-BR"/>
        </w:rPr>
        <w:t>, 2012). Desta forma, propõe-se que:</w:t>
      </w:r>
    </w:p>
    <w:p w14:paraId="3680056E" w14:textId="04080EBA" w:rsidR="00554DBA" w:rsidRDefault="0060593D" w:rsidP="0060593D">
      <w:pPr>
        <w:autoSpaceDE w:val="0"/>
        <w:autoSpaceDN w:val="0"/>
        <w:adjustRightInd w:val="0"/>
        <w:jc w:val="both"/>
        <w:rPr>
          <w:rFonts w:ascii="Garamond" w:eastAsia="Times New Roman" w:hAnsi="Garamond"/>
          <w:lang w:eastAsia="pt-BR"/>
        </w:rPr>
      </w:pPr>
      <w:r w:rsidRPr="0060593D">
        <w:rPr>
          <w:rFonts w:ascii="Garamond" w:eastAsia="Times New Roman" w:hAnsi="Garamond"/>
          <w:lang w:eastAsia="pt-BR"/>
        </w:rPr>
        <w:t>H1b: A percepção de um chamado influencia positivamente à satisfação com a vida.</w:t>
      </w:r>
    </w:p>
    <w:p w14:paraId="5792648F" w14:textId="77E2EE6A" w:rsidR="00554DBA" w:rsidRDefault="00B44B1E" w:rsidP="00554DBA">
      <w:pPr>
        <w:autoSpaceDE w:val="0"/>
        <w:autoSpaceDN w:val="0"/>
        <w:adjustRightInd w:val="0"/>
        <w:jc w:val="both"/>
        <w:rPr>
          <w:rFonts w:ascii="Garamond" w:eastAsia="Times New Roman" w:hAnsi="Garamond"/>
          <w:lang w:eastAsia="pt-BR"/>
        </w:rPr>
      </w:pPr>
      <w:r w:rsidRPr="00B44B1E">
        <w:rPr>
          <w:rFonts w:ascii="Garamond" w:hAnsi="Garamond"/>
          <w:b/>
          <w:sz w:val="28"/>
          <w:szCs w:val="28"/>
          <w:lang w:eastAsia="pt-BR"/>
        </w:rPr>
        <w:t>Perceber um chamado e o significado da vida</w:t>
      </w:r>
    </w:p>
    <w:p w14:paraId="4D2225C4" w14:textId="77777777" w:rsidR="00361419" w:rsidRPr="00361419" w:rsidRDefault="00361419" w:rsidP="00361419">
      <w:pPr>
        <w:autoSpaceDE w:val="0"/>
        <w:autoSpaceDN w:val="0"/>
        <w:adjustRightInd w:val="0"/>
        <w:jc w:val="both"/>
        <w:rPr>
          <w:rFonts w:ascii="Garamond" w:eastAsia="Times New Roman" w:hAnsi="Garamond"/>
          <w:lang w:eastAsia="pt-BR"/>
        </w:rPr>
      </w:pPr>
      <w:r w:rsidRPr="00361419">
        <w:rPr>
          <w:rFonts w:ascii="Garamond" w:eastAsia="Times New Roman" w:hAnsi="Garamond"/>
          <w:lang w:eastAsia="pt-BR"/>
        </w:rPr>
        <w:t>O conceito de significado da vida pode ser definido a partir de duas perspectivas (</w:t>
      </w:r>
      <w:proofErr w:type="spellStart"/>
      <w:r w:rsidRPr="00361419">
        <w:rPr>
          <w:rFonts w:ascii="Garamond" w:eastAsia="Times New Roman" w:hAnsi="Garamond"/>
          <w:lang w:eastAsia="pt-BR"/>
        </w:rPr>
        <w:t>Steger</w:t>
      </w:r>
      <w:proofErr w:type="spellEnd"/>
      <w:r w:rsidRPr="00361419">
        <w:rPr>
          <w:rFonts w:ascii="Garamond" w:eastAsia="Times New Roman" w:hAnsi="Garamond"/>
          <w:lang w:eastAsia="pt-BR"/>
        </w:rPr>
        <w:t xml:space="preserve"> et al., 2006). A primeira é a existência de um objetivo ou propósito de vida; e a segunda é sobre a vida de uma pessoa possuir uma coerência. Para </w:t>
      </w:r>
      <w:proofErr w:type="spellStart"/>
      <w:r w:rsidRPr="00361419">
        <w:rPr>
          <w:rFonts w:ascii="Garamond" w:eastAsia="Times New Roman" w:hAnsi="Garamond"/>
          <w:lang w:eastAsia="pt-BR"/>
        </w:rPr>
        <w:t>Frankl</w:t>
      </w:r>
      <w:proofErr w:type="spellEnd"/>
      <w:r w:rsidRPr="00361419">
        <w:rPr>
          <w:rFonts w:ascii="Garamond" w:eastAsia="Times New Roman" w:hAnsi="Garamond"/>
          <w:lang w:eastAsia="pt-BR"/>
        </w:rPr>
        <w:t xml:space="preserve"> (1963), este conceito está relacionado ao sentimento de satisfação de um indivíduo, alinhado com a existência de um propósito de vida. Já para Morgan e </w:t>
      </w:r>
      <w:proofErr w:type="spellStart"/>
      <w:r w:rsidRPr="00361419">
        <w:rPr>
          <w:rFonts w:ascii="Garamond" w:eastAsia="Times New Roman" w:hAnsi="Garamond"/>
          <w:lang w:eastAsia="pt-BR"/>
        </w:rPr>
        <w:t>Farsides</w:t>
      </w:r>
      <w:proofErr w:type="spellEnd"/>
      <w:r w:rsidRPr="00361419">
        <w:rPr>
          <w:rFonts w:ascii="Garamond" w:eastAsia="Times New Roman" w:hAnsi="Garamond"/>
          <w:lang w:eastAsia="pt-BR"/>
        </w:rPr>
        <w:t xml:space="preserve"> (2009) significado da vida está relacionando com a coerência, propósito de existência, busca por objetivos valiosos na vida e na sensação de realização dos indivíduos. Ainda, possuir um significado na vida pode ser considerado como uma forma de maximização dos potenciais, ou seja, pessoas que possuem um significado na vida tendem a ter um impulso para satisfazê-lo. Por outro lado, quando não alcançam este objetivo tendem a sofrer com depressão, ansiedade e outros problemas emocionais (</w:t>
      </w:r>
      <w:proofErr w:type="spellStart"/>
      <w:r w:rsidRPr="00361419">
        <w:rPr>
          <w:rFonts w:ascii="Garamond" w:eastAsia="Times New Roman" w:hAnsi="Garamond"/>
          <w:lang w:eastAsia="pt-BR"/>
        </w:rPr>
        <w:t>Steger</w:t>
      </w:r>
      <w:proofErr w:type="spellEnd"/>
      <w:r w:rsidRPr="00361419">
        <w:rPr>
          <w:rFonts w:ascii="Garamond" w:eastAsia="Times New Roman" w:hAnsi="Garamond"/>
          <w:lang w:eastAsia="pt-BR"/>
        </w:rPr>
        <w:t xml:space="preserve"> et al., 2006). </w:t>
      </w:r>
    </w:p>
    <w:p w14:paraId="320FAB51" w14:textId="77777777" w:rsidR="00361419" w:rsidRPr="00361419" w:rsidRDefault="00361419" w:rsidP="00361419">
      <w:pPr>
        <w:autoSpaceDE w:val="0"/>
        <w:autoSpaceDN w:val="0"/>
        <w:adjustRightInd w:val="0"/>
        <w:jc w:val="both"/>
        <w:rPr>
          <w:rFonts w:ascii="Garamond" w:eastAsia="Times New Roman" w:hAnsi="Garamond"/>
          <w:lang w:eastAsia="pt-BR"/>
        </w:rPr>
      </w:pPr>
      <w:r w:rsidRPr="00361419">
        <w:rPr>
          <w:rFonts w:ascii="Garamond" w:eastAsia="Times New Roman" w:hAnsi="Garamond"/>
          <w:lang w:eastAsia="pt-BR"/>
        </w:rPr>
        <w:t>Assim, perceber um chamado está relacionado a ver o trabalho como um objetivo ou propósito (</w:t>
      </w:r>
      <w:proofErr w:type="spellStart"/>
      <w:r w:rsidRPr="00361419">
        <w:rPr>
          <w:rFonts w:ascii="Garamond" w:eastAsia="Times New Roman" w:hAnsi="Garamond"/>
          <w:lang w:eastAsia="pt-BR"/>
        </w:rPr>
        <w:t>Dik</w:t>
      </w:r>
      <w:proofErr w:type="spellEnd"/>
      <w:r w:rsidRPr="00361419">
        <w:rPr>
          <w:rFonts w:ascii="Garamond" w:eastAsia="Times New Roman" w:hAnsi="Garamond"/>
          <w:lang w:eastAsia="pt-BR"/>
        </w:rPr>
        <w:t xml:space="preserve"> &amp; Duffy, 2009; Duffy et al., 2018), da mesma forma que possuir um significado de vida está relacionado a busca por um propósito de vida (</w:t>
      </w:r>
      <w:proofErr w:type="spellStart"/>
      <w:r w:rsidRPr="00361419">
        <w:rPr>
          <w:rFonts w:ascii="Garamond" w:eastAsia="Times New Roman" w:hAnsi="Garamond"/>
          <w:lang w:eastAsia="pt-BR"/>
        </w:rPr>
        <w:t>Steger</w:t>
      </w:r>
      <w:proofErr w:type="spellEnd"/>
      <w:r w:rsidRPr="00361419">
        <w:rPr>
          <w:rFonts w:ascii="Garamond" w:eastAsia="Times New Roman" w:hAnsi="Garamond"/>
          <w:lang w:eastAsia="pt-BR"/>
        </w:rPr>
        <w:t xml:space="preserve"> et al., 2006), de modo que indivíduos que percebem um significado na vida tendem a envolver mais esforços para atingir os objetivos, mantendo mais foco na busca pela carreira, e aumentando a capacidade de adquirir emoções positivas (Duffy et al., 2018). Portanto, propõe-se que:</w:t>
      </w:r>
    </w:p>
    <w:p w14:paraId="00A81225" w14:textId="1E2C1779" w:rsidR="00554DBA" w:rsidRDefault="00361419" w:rsidP="00361419">
      <w:pPr>
        <w:autoSpaceDE w:val="0"/>
        <w:autoSpaceDN w:val="0"/>
        <w:adjustRightInd w:val="0"/>
        <w:jc w:val="both"/>
        <w:rPr>
          <w:rFonts w:ascii="Garamond" w:eastAsia="Times New Roman" w:hAnsi="Garamond"/>
          <w:lang w:eastAsia="pt-BR"/>
        </w:rPr>
      </w:pPr>
      <w:r w:rsidRPr="00361419">
        <w:rPr>
          <w:rFonts w:ascii="Garamond" w:eastAsia="Times New Roman" w:hAnsi="Garamond"/>
          <w:lang w:eastAsia="pt-BR"/>
        </w:rPr>
        <w:t>H1c: A percepção de um chamado influencia positivamente o significado da vida.</w:t>
      </w:r>
    </w:p>
    <w:p w14:paraId="2969FF5A" w14:textId="00077BB2" w:rsidR="00DF4DC9" w:rsidRDefault="00246157" w:rsidP="0087024E">
      <w:pPr>
        <w:autoSpaceDE w:val="0"/>
        <w:autoSpaceDN w:val="0"/>
        <w:adjustRightInd w:val="0"/>
        <w:jc w:val="both"/>
        <w:rPr>
          <w:rFonts w:ascii="Garamond" w:eastAsia="Times New Roman" w:hAnsi="Garamond"/>
          <w:lang w:eastAsia="pt-BR"/>
        </w:rPr>
      </w:pPr>
      <w:r w:rsidRPr="00246157">
        <w:rPr>
          <w:rFonts w:ascii="Garamond" w:hAnsi="Garamond"/>
          <w:b/>
          <w:sz w:val="28"/>
          <w:szCs w:val="28"/>
          <w:lang w:eastAsia="pt-BR"/>
        </w:rPr>
        <w:t>Perceber um chamado e o bem-estar existencial</w:t>
      </w:r>
    </w:p>
    <w:p w14:paraId="3AAE14EB" w14:textId="77777777" w:rsidR="00B87836" w:rsidRPr="00B87836" w:rsidRDefault="00B87836" w:rsidP="00B87836">
      <w:pPr>
        <w:autoSpaceDE w:val="0"/>
        <w:autoSpaceDN w:val="0"/>
        <w:adjustRightInd w:val="0"/>
        <w:jc w:val="both"/>
        <w:rPr>
          <w:rFonts w:ascii="Garamond" w:eastAsia="Times New Roman" w:hAnsi="Garamond"/>
          <w:lang w:eastAsia="pt-BR"/>
        </w:rPr>
      </w:pPr>
      <w:r w:rsidRPr="00B87836">
        <w:rPr>
          <w:rFonts w:ascii="Garamond" w:eastAsia="Times New Roman" w:hAnsi="Garamond"/>
          <w:lang w:eastAsia="pt-BR"/>
        </w:rPr>
        <w:t xml:space="preserve">O bem-estar existencial está relacionado à espiritualidade humana e pode ser definido como um senso de propósito e significado de vida num sentido amplo, é uma autopercepção positiva que faz com que um indivíduo se veja como capaz de enfrentar as dificuldades e as limitações da vida (MacDonald, 2000). O construto de bem-estar existencial faz parte do contexto de bem-estar espiritual, onde este é dividido em dois </w:t>
      </w:r>
      <w:proofErr w:type="spellStart"/>
      <w:r w:rsidRPr="00B87836">
        <w:rPr>
          <w:rFonts w:ascii="Garamond" w:eastAsia="Times New Roman" w:hAnsi="Garamond"/>
          <w:lang w:eastAsia="pt-BR"/>
        </w:rPr>
        <w:t>subconstrutos</w:t>
      </w:r>
      <w:proofErr w:type="spellEnd"/>
      <w:r w:rsidRPr="00B87836">
        <w:rPr>
          <w:rFonts w:ascii="Garamond" w:eastAsia="Times New Roman" w:hAnsi="Garamond"/>
          <w:lang w:eastAsia="pt-BR"/>
        </w:rPr>
        <w:t>: o bem-estar religioso e existencial. O primeiro está relacionado a um chamado de Deus e o segundo não está necessariamente relacionado à religião (</w:t>
      </w:r>
      <w:proofErr w:type="spellStart"/>
      <w:r w:rsidRPr="00B87836">
        <w:rPr>
          <w:rFonts w:ascii="Garamond" w:eastAsia="Times New Roman" w:hAnsi="Garamond"/>
          <w:lang w:eastAsia="pt-BR"/>
        </w:rPr>
        <w:t>Sekely</w:t>
      </w:r>
      <w:proofErr w:type="spellEnd"/>
      <w:r w:rsidRPr="00B87836">
        <w:rPr>
          <w:rFonts w:ascii="Garamond" w:eastAsia="Times New Roman" w:hAnsi="Garamond"/>
          <w:lang w:eastAsia="pt-BR"/>
        </w:rPr>
        <w:t xml:space="preserve"> et al., 2019). O bem-estar existencial está conectado com propósito, significado e satisfação com a vida. Ele faz parte de um contexto de bem-estar espiritual (</w:t>
      </w:r>
      <w:proofErr w:type="spellStart"/>
      <w:r w:rsidRPr="00B87836">
        <w:rPr>
          <w:rFonts w:ascii="Garamond" w:eastAsia="Times New Roman" w:hAnsi="Garamond"/>
          <w:lang w:eastAsia="pt-BR"/>
        </w:rPr>
        <w:t>Yoo</w:t>
      </w:r>
      <w:proofErr w:type="spellEnd"/>
      <w:r w:rsidRPr="00B87836">
        <w:rPr>
          <w:rFonts w:ascii="Garamond" w:eastAsia="Times New Roman" w:hAnsi="Garamond"/>
          <w:lang w:eastAsia="pt-BR"/>
        </w:rPr>
        <w:t xml:space="preserve"> &amp; </w:t>
      </w:r>
      <w:proofErr w:type="spellStart"/>
      <w:r w:rsidRPr="00B87836">
        <w:rPr>
          <w:rFonts w:ascii="Garamond" w:eastAsia="Times New Roman" w:hAnsi="Garamond"/>
          <w:lang w:eastAsia="pt-BR"/>
        </w:rPr>
        <w:t>You</w:t>
      </w:r>
      <w:proofErr w:type="spellEnd"/>
      <w:r w:rsidRPr="00B87836">
        <w:rPr>
          <w:rFonts w:ascii="Garamond" w:eastAsia="Times New Roman" w:hAnsi="Garamond"/>
          <w:lang w:eastAsia="pt-BR"/>
        </w:rPr>
        <w:t xml:space="preserve">, 2018). Estes autores verificaram em seu estudo que o bem-estar existencial, no contexto do trabalho ministerial coreano está relacionado positivamente com a satisfação no trabalho. </w:t>
      </w:r>
    </w:p>
    <w:p w14:paraId="4365500A" w14:textId="77777777" w:rsidR="00B87836" w:rsidRPr="00B87836" w:rsidRDefault="00B87836" w:rsidP="00B87836">
      <w:pPr>
        <w:autoSpaceDE w:val="0"/>
        <w:autoSpaceDN w:val="0"/>
        <w:adjustRightInd w:val="0"/>
        <w:jc w:val="both"/>
        <w:rPr>
          <w:rFonts w:ascii="Garamond" w:eastAsia="Times New Roman" w:hAnsi="Garamond"/>
          <w:lang w:eastAsia="pt-BR"/>
        </w:rPr>
      </w:pPr>
      <w:r w:rsidRPr="00B87836">
        <w:rPr>
          <w:rFonts w:ascii="Garamond" w:eastAsia="Times New Roman" w:hAnsi="Garamond"/>
          <w:lang w:eastAsia="pt-BR"/>
        </w:rPr>
        <w:t xml:space="preserve">Segundo </w:t>
      </w:r>
      <w:proofErr w:type="spellStart"/>
      <w:r w:rsidRPr="00B87836">
        <w:rPr>
          <w:rFonts w:ascii="Garamond" w:eastAsia="Times New Roman" w:hAnsi="Garamond"/>
          <w:lang w:eastAsia="pt-BR"/>
        </w:rPr>
        <w:t>Steger</w:t>
      </w:r>
      <w:proofErr w:type="spellEnd"/>
      <w:r w:rsidRPr="00B87836">
        <w:rPr>
          <w:rFonts w:ascii="Garamond" w:eastAsia="Times New Roman" w:hAnsi="Garamond"/>
          <w:lang w:eastAsia="pt-BR"/>
        </w:rPr>
        <w:t xml:space="preserve"> et al. (2010), o bem-estar existencial está relacionado a propensão das pessoas em experimentar emoções positivas e indica o apreço da pessoa por sua vida. Perceber um chamado ocupacional tem efeitos no bem-estar dos indivíduos, fazendo com que estes tenham uma motivação maior para o trabalho (Duffy et al., 2017). Embora sejam escassas as evidências sobre a relação diretas entre a percepção de um chamado e o bem-estar existencial, estudos como o de </w:t>
      </w:r>
      <w:proofErr w:type="spellStart"/>
      <w:r w:rsidRPr="00B87836">
        <w:rPr>
          <w:rFonts w:ascii="Garamond" w:eastAsia="Times New Roman" w:hAnsi="Garamond"/>
          <w:lang w:eastAsia="pt-BR"/>
        </w:rPr>
        <w:t>Steger</w:t>
      </w:r>
      <w:proofErr w:type="spellEnd"/>
      <w:r w:rsidRPr="00B87836">
        <w:rPr>
          <w:rFonts w:ascii="Garamond" w:eastAsia="Times New Roman" w:hAnsi="Garamond"/>
          <w:lang w:eastAsia="pt-BR"/>
        </w:rPr>
        <w:t xml:space="preserve"> et al. (2010) fornecem evidências empíricas que permitem identificar tal relação. Isso posto, propõe-se que:</w:t>
      </w:r>
    </w:p>
    <w:p w14:paraId="5EE7FCFF" w14:textId="20BC7337" w:rsidR="00DF4DC9" w:rsidRDefault="00B87836" w:rsidP="00B87836">
      <w:pPr>
        <w:autoSpaceDE w:val="0"/>
        <w:autoSpaceDN w:val="0"/>
        <w:adjustRightInd w:val="0"/>
        <w:jc w:val="both"/>
        <w:rPr>
          <w:rFonts w:ascii="Garamond" w:eastAsia="Times New Roman" w:hAnsi="Garamond"/>
          <w:lang w:eastAsia="pt-BR"/>
        </w:rPr>
      </w:pPr>
      <w:r w:rsidRPr="00B87836">
        <w:rPr>
          <w:rFonts w:ascii="Garamond" w:eastAsia="Times New Roman" w:hAnsi="Garamond"/>
          <w:lang w:eastAsia="pt-BR"/>
        </w:rPr>
        <w:lastRenderedPageBreak/>
        <w:t>H1d: A percepção de um chamado influencia positivamente o bem-estar existencial.</w:t>
      </w:r>
    </w:p>
    <w:p w14:paraId="237690EC" w14:textId="2564FA15" w:rsidR="00246157" w:rsidRDefault="00BD602A" w:rsidP="0087024E">
      <w:pPr>
        <w:autoSpaceDE w:val="0"/>
        <w:autoSpaceDN w:val="0"/>
        <w:adjustRightInd w:val="0"/>
        <w:jc w:val="both"/>
        <w:rPr>
          <w:rFonts w:ascii="Garamond" w:eastAsia="Times New Roman" w:hAnsi="Garamond"/>
          <w:lang w:eastAsia="pt-BR"/>
        </w:rPr>
      </w:pPr>
      <w:r w:rsidRPr="00BD602A">
        <w:rPr>
          <w:rFonts w:ascii="Garamond" w:hAnsi="Garamond"/>
          <w:b/>
          <w:sz w:val="28"/>
          <w:szCs w:val="28"/>
          <w:lang w:eastAsia="pt-BR"/>
        </w:rPr>
        <w:t>Perceber um chamado e comprometimento com a carreira</w:t>
      </w:r>
    </w:p>
    <w:p w14:paraId="5E3CE08F" w14:textId="77777777" w:rsidR="00B43FE6" w:rsidRPr="00B43FE6" w:rsidRDefault="00B43FE6" w:rsidP="00B43FE6">
      <w:pPr>
        <w:autoSpaceDE w:val="0"/>
        <w:autoSpaceDN w:val="0"/>
        <w:adjustRightInd w:val="0"/>
        <w:jc w:val="both"/>
        <w:rPr>
          <w:rFonts w:ascii="Garamond" w:eastAsia="Times New Roman" w:hAnsi="Garamond"/>
          <w:lang w:eastAsia="pt-BR"/>
        </w:rPr>
      </w:pPr>
      <w:r w:rsidRPr="00B43FE6">
        <w:rPr>
          <w:rFonts w:ascii="Garamond" w:eastAsia="Times New Roman" w:hAnsi="Garamond"/>
          <w:lang w:eastAsia="pt-BR"/>
        </w:rPr>
        <w:t>O comprometimento com a carreira pode ser definido como uma atitude do trabalhador em relação a sua trajetória profissional, segundo a qual ele apresenta uma motivação elevada para o cumprimento de suas tarefas e entregas esperadas (Blau, 1985). O comprometimento com a carreira é reflexo de percepções autoavaliadas dos trabalhadores (Wong et al., 2021), geralmente é descrito como uma motivação intrínseca da escolha da carreira, medida com indicadores objetivos e subjetivos (Noor et al., 2020). Indicadores objetivos como situação da carreira, salários e promoções; e os subjetivos como sentimentos de realização e compromisso individual com suas carreiras (Noor et al., 2020).</w:t>
      </w:r>
    </w:p>
    <w:p w14:paraId="607FC130" w14:textId="052ABDF3" w:rsidR="00B43FE6" w:rsidRPr="00B43FE6" w:rsidRDefault="00B43FE6" w:rsidP="00B43FE6">
      <w:pPr>
        <w:autoSpaceDE w:val="0"/>
        <w:autoSpaceDN w:val="0"/>
        <w:adjustRightInd w:val="0"/>
        <w:jc w:val="both"/>
        <w:rPr>
          <w:rFonts w:ascii="Garamond" w:eastAsia="Times New Roman" w:hAnsi="Garamond"/>
          <w:lang w:eastAsia="pt-BR"/>
        </w:rPr>
      </w:pPr>
      <w:r w:rsidRPr="00B43FE6">
        <w:rPr>
          <w:rFonts w:ascii="Garamond" w:eastAsia="Times New Roman" w:hAnsi="Garamond"/>
          <w:lang w:eastAsia="pt-BR"/>
        </w:rPr>
        <w:t>Estudos indicam que trabalhadores tendem a aumentar seu comprometimento com a carreira por meio da identificação, envolvimento e investimento na carreira (Noor</w:t>
      </w:r>
      <w:r w:rsidR="00F573F7">
        <w:rPr>
          <w:rFonts w:ascii="Garamond" w:eastAsia="Times New Roman" w:hAnsi="Garamond"/>
          <w:lang w:eastAsia="pt-BR"/>
        </w:rPr>
        <w:t xml:space="preserve"> </w:t>
      </w:r>
      <w:r w:rsidR="00F573F7" w:rsidRPr="00E02F46">
        <w:rPr>
          <w:rFonts w:ascii="Garamond" w:eastAsia="Times New Roman" w:hAnsi="Garamond"/>
          <w:lang w:eastAsia="pt-BR"/>
        </w:rPr>
        <w:t>et al.</w:t>
      </w:r>
      <w:r w:rsidRPr="00B43FE6">
        <w:rPr>
          <w:rFonts w:ascii="Garamond" w:eastAsia="Times New Roman" w:hAnsi="Garamond"/>
          <w:lang w:eastAsia="pt-BR"/>
        </w:rPr>
        <w:t>, 2020). Por outro lado, caso os trabalhadores não estejam comprometidos com o seu trabalho, as taxas de absenteísmo e rotatividade tendem a ser altas (Cherif, 2020).</w:t>
      </w:r>
    </w:p>
    <w:p w14:paraId="20233637" w14:textId="77777777" w:rsidR="00B43FE6" w:rsidRPr="00B43FE6" w:rsidRDefault="00B43FE6" w:rsidP="00B43FE6">
      <w:pPr>
        <w:autoSpaceDE w:val="0"/>
        <w:autoSpaceDN w:val="0"/>
        <w:adjustRightInd w:val="0"/>
        <w:jc w:val="both"/>
        <w:rPr>
          <w:rFonts w:ascii="Garamond" w:eastAsia="Times New Roman" w:hAnsi="Garamond"/>
          <w:lang w:eastAsia="pt-BR"/>
        </w:rPr>
      </w:pPr>
      <w:r w:rsidRPr="00B43FE6">
        <w:rPr>
          <w:rFonts w:ascii="Garamond" w:eastAsia="Times New Roman" w:hAnsi="Garamond"/>
          <w:lang w:eastAsia="pt-BR"/>
        </w:rPr>
        <w:t xml:space="preserve">Segundo </w:t>
      </w:r>
      <w:proofErr w:type="spellStart"/>
      <w:r w:rsidRPr="00B43FE6">
        <w:rPr>
          <w:rFonts w:ascii="Garamond" w:eastAsia="Times New Roman" w:hAnsi="Garamond"/>
          <w:lang w:eastAsia="pt-BR"/>
        </w:rPr>
        <w:t>Elangovan</w:t>
      </w:r>
      <w:proofErr w:type="spellEnd"/>
      <w:r w:rsidRPr="00B43FE6">
        <w:rPr>
          <w:rFonts w:ascii="Garamond" w:eastAsia="Times New Roman" w:hAnsi="Garamond"/>
          <w:lang w:eastAsia="pt-BR"/>
        </w:rPr>
        <w:t xml:space="preserve"> et al. (2010), trabalhadores que buscam um chamado ocupacional tendem a manter o comprometimento com a carreira mesmo em circunstâncias desfavoráveis, pois valorizam o ato de buscar em si, independentemente dos resultados. É o caso do estudo de </w:t>
      </w:r>
      <w:proofErr w:type="spellStart"/>
      <w:r w:rsidRPr="00B43FE6">
        <w:rPr>
          <w:rFonts w:ascii="Garamond" w:eastAsia="Times New Roman" w:hAnsi="Garamond"/>
          <w:lang w:eastAsia="pt-BR"/>
        </w:rPr>
        <w:t>Afsar</w:t>
      </w:r>
      <w:proofErr w:type="spellEnd"/>
      <w:r w:rsidRPr="00B43FE6">
        <w:rPr>
          <w:rFonts w:ascii="Garamond" w:eastAsia="Times New Roman" w:hAnsi="Garamond"/>
          <w:lang w:eastAsia="pt-BR"/>
        </w:rPr>
        <w:t xml:space="preserve"> et al. (2019), realizado com 650 enfermeiros no Paquistão. Esta pesquisa identificou que profissionais de enfermagem com altos níveis de percepção de chamado, tendem a ter altos níveis de comprometimento com a carreira, e baixos níveis de comportamentos desviantes do trabalho, como a intenção de rotatividade. Desta forma, propõe-se que: </w:t>
      </w:r>
    </w:p>
    <w:p w14:paraId="7299F6B2" w14:textId="01E3A56A" w:rsidR="00246157" w:rsidRDefault="00B43FE6" w:rsidP="00B43FE6">
      <w:pPr>
        <w:autoSpaceDE w:val="0"/>
        <w:autoSpaceDN w:val="0"/>
        <w:adjustRightInd w:val="0"/>
        <w:jc w:val="both"/>
        <w:rPr>
          <w:rFonts w:ascii="Garamond" w:eastAsia="Times New Roman" w:hAnsi="Garamond"/>
          <w:lang w:eastAsia="pt-BR"/>
        </w:rPr>
      </w:pPr>
      <w:r w:rsidRPr="00B43FE6">
        <w:rPr>
          <w:rFonts w:ascii="Garamond" w:eastAsia="Times New Roman" w:hAnsi="Garamond"/>
          <w:lang w:eastAsia="pt-BR"/>
        </w:rPr>
        <w:t>H1e: A percepção de um chamado influencia positivamente o comprometimento com a carreira.</w:t>
      </w:r>
    </w:p>
    <w:p w14:paraId="37197C61" w14:textId="6C99327D" w:rsidR="00B43FE6" w:rsidRDefault="001456DA" w:rsidP="00B43FE6">
      <w:pPr>
        <w:autoSpaceDE w:val="0"/>
        <w:autoSpaceDN w:val="0"/>
        <w:adjustRightInd w:val="0"/>
        <w:jc w:val="both"/>
        <w:rPr>
          <w:rFonts w:ascii="Garamond" w:eastAsia="Times New Roman" w:hAnsi="Garamond"/>
          <w:lang w:eastAsia="pt-BR"/>
        </w:rPr>
      </w:pPr>
      <w:r w:rsidRPr="001456DA">
        <w:rPr>
          <w:rFonts w:ascii="Garamond" w:hAnsi="Garamond"/>
          <w:b/>
          <w:sz w:val="28"/>
          <w:szCs w:val="28"/>
          <w:lang w:eastAsia="pt-BR"/>
        </w:rPr>
        <w:t>O papel moderador de viver um chamado</w:t>
      </w:r>
    </w:p>
    <w:p w14:paraId="2AE1B8FA" w14:textId="77777777" w:rsidR="00965A54" w:rsidRPr="00965A54" w:rsidRDefault="00965A54" w:rsidP="00965A54">
      <w:pPr>
        <w:autoSpaceDE w:val="0"/>
        <w:autoSpaceDN w:val="0"/>
        <w:adjustRightInd w:val="0"/>
        <w:jc w:val="both"/>
        <w:rPr>
          <w:rFonts w:ascii="Garamond" w:eastAsia="Times New Roman" w:hAnsi="Garamond"/>
          <w:lang w:eastAsia="pt-BR"/>
        </w:rPr>
      </w:pPr>
      <w:r w:rsidRPr="00965A54">
        <w:rPr>
          <w:rFonts w:ascii="Garamond" w:eastAsia="Times New Roman" w:hAnsi="Garamond"/>
          <w:lang w:eastAsia="pt-BR"/>
        </w:rPr>
        <w:t xml:space="preserve">No entanto, as relações propostas acima parecem ser influenciadas pela presença de uma variável adicional que as intensificaria, como a de viver um chamado. Viver um chamado está relacionado ao fato de trabalhadores entenderem a profissão como um chamado, e ter a </w:t>
      </w:r>
      <w:r w:rsidRPr="007F2FD2">
        <w:rPr>
          <w:rFonts w:ascii="Garamond" w:eastAsia="Times New Roman" w:hAnsi="Garamond"/>
          <w:lang w:eastAsia="pt-BR"/>
        </w:rPr>
        <w:t>oportunidade de encontrar um trabalho no qual possam vivenciar de fato este chamado (</w:t>
      </w:r>
      <w:proofErr w:type="spellStart"/>
      <w:r w:rsidRPr="007F2FD2">
        <w:rPr>
          <w:rFonts w:ascii="Garamond" w:eastAsia="Times New Roman" w:hAnsi="Garamond"/>
          <w:lang w:eastAsia="pt-BR"/>
        </w:rPr>
        <w:t>Hirschi</w:t>
      </w:r>
      <w:proofErr w:type="spellEnd"/>
      <w:r w:rsidRPr="007F2FD2">
        <w:rPr>
          <w:rFonts w:ascii="Garamond" w:eastAsia="Times New Roman" w:hAnsi="Garamond"/>
          <w:lang w:eastAsia="pt-BR"/>
        </w:rPr>
        <w:t xml:space="preserve"> et al., 2019). Segundo Buis et al.</w:t>
      </w:r>
      <w:r w:rsidRPr="00965A54">
        <w:rPr>
          <w:rFonts w:ascii="Garamond" w:eastAsia="Times New Roman" w:hAnsi="Garamond"/>
          <w:lang w:eastAsia="pt-BR"/>
        </w:rPr>
        <w:t xml:space="preserve"> (2024) viver o trabalho como um chamado pode reduzir o stress e ansiedade e melhorar a satisfação no trabalho. Desta forma, viver um chamado facilita a capacidade de um indivíduo atender suas necessidades psicológicas básicas, por outro lado, essas necessidades podem ser frustradas em caso de um chamado não atendido (</w:t>
      </w:r>
      <w:proofErr w:type="spellStart"/>
      <w:r w:rsidRPr="00965A54">
        <w:rPr>
          <w:rFonts w:ascii="Garamond" w:eastAsia="Times New Roman" w:hAnsi="Garamond"/>
          <w:lang w:eastAsia="pt-BR"/>
        </w:rPr>
        <w:t>Gazica</w:t>
      </w:r>
      <w:proofErr w:type="spellEnd"/>
      <w:r w:rsidRPr="00965A54">
        <w:rPr>
          <w:rFonts w:ascii="Garamond" w:eastAsia="Times New Roman" w:hAnsi="Garamond"/>
          <w:lang w:eastAsia="pt-BR"/>
        </w:rPr>
        <w:t xml:space="preserve"> &amp; Spector, 2015). Destaca-se que perceber um chamado nem sempre é o suficiente para obterem resultados individuais e organizacionais positivos, de modo que viver um chamado mostrou-se essencial para alcançar estes resultados positivos no trabalho e na vida (</w:t>
      </w:r>
      <w:proofErr w:type="spellStart"/>
      <w:r w:rsidRPr="00965A54">
        <w:rPr>
          <w:rFonts w:ascii="Garamond" w:eastAsia="Times New Roman" w:hAnsi="Garamond"/>
          <w:lang w:eastAsia="pt-BR"/>
        </w:rPr>
        <w:t>Gazica</w:t>
      </w:r>
      <w:proofErr w:type="spellEnd"/>
      <w:r w:rsidRPr="00965A54">
        <w:rPr>
          <w:rFonts w:ascii="Garamond" w:eastAsia="Times New Roman" w:hAnsi="Garamond"/>
          <w:lang w:eastAsia="pt-BR"/>
        </w:rPr>
        <w:t xml:space="preserve"> &amp; Spector, 2015; </w:t>
      </w:r>
      <w:proofErr w:type="spellStart"/>
      <w:r w:rsidRPr="00965A54">
        <w:rPr>
          <w:rFonts w:ascii="Garamond" w:eastAsia="Times New Roman" w:hAnsi="Garamond"/>
          <w:lang w:eastAsia="pt-BR"/>
        </w:rPr>
        <w:t>Hirschi</w:t>
      </w:r>
      <w:proofErr w:type="spellEnd"/>
      <w:r w:rsidRPr="00965A54">
        <w:rPr>
          <w:rFonts w:ascii="Garamond" w:eastAsia="Times New Roman" w:hAnsi="Garamond"/>
          <w:lang w:eastAsia="pt-BR"/>
        </w:rPr>
        <w:t xml:space="preserve"> et al., 2019). Assim, estes resultados apontam os benefícios advindos de se viver um chamado e de não apenas se perceber um chamado (Duffy et al., 2022).  </w:t>
      </w:r>
    </w:p>
    <w:p w14:paraId="30821CAC" w14:textId="77777777" w:rsidR="00965A54" w:rsidRPr="00965A54" w:rsidRDefault="00965A54" w:rsidP="00965A54">
      <w:pPr>
        <w:autoSpaceDE w:val="0"/>
        <w:autoSpaceDN w:val="0"/>
        <w:adjustRightInd w:val="0"/>
        <w:jc w:val="both"/>
        <w:rPr>
          <w:rFonts w:ascii="Garamond" w:eastAsia="Times New Roman" w:hAnsi="Garamond"/>
          <w:lang w:eastAsia="pt-BR"/>
        </w:rPr>
      </w:pPr>
      <w:r w:rsidRPr="00965A54">
        <w:rPr>
          <w:rFonts w:ascii="Garamond" w:eastAsia="Times New Roman" w:hAnsi="Garamond"/>
          <w:lang w:eastAsia="pt-BR"/>
        </w:rPr>
        <w:t xml:space="preserve">O estudo de </w:t>
      </w:r>
      <w:proofErr w:type="spellStart"/>
      <w:r w:rsidRPr="00965A54">
        <w:rPr>
          <w:rFonts w:ascii="Garamond" w:eastAsia="Times New Roman" w:hAnsi="Garamond"/>
          <w:lang w:eastAsia="pt-BR"/>
        </w:rPr>
        <w:t>Gazica</w:t>
      </w:r>
      <w:proofErr w:type="spellEnd"/>
      <w:r w:rsidRPr="00965A54">
        <w:rPr>
          <w:rFonts w:ascii="Garamond" w:eastAsia="Times New Roman" w:hAnsi="Garamond"/>
          <w:lang w:eastAsia="pt-BR"/>
        </w:rPr>
        <w:t xml:space="preserve"> e Spector (2015), reforça a teoria de que um chamado só é benéfico se for atendido. Os autores realizaram um estudo com 378 acadêmicos americanos, onde, os acadêmicos que possuíam um chamado ocupacional atendido obtiveram maiores níveis de satisfação no trabalho e satisfação com a vida, do que acadêmicos que possuíam um chamado ocupacional não atendido, ou mesmo, não possuíam um chamado. Bem como, apresentaram níveis mais baixos de sintomas físicos, sofrimento psicológico e intenções de absenteísmo do que aqueles que possuem um chamado ocupacional não atendido. Desta forma, propõe-se que: </w:t>
      </w:r>
    </w:p>
    <w:p w14:paraId="0A92C1C3" w14:textId="77777777" w:rsidR="00965A54" w:rsidRPr="00965A54" w:rsidRDefault="00965A54" w:rsidP="00965A54">
      <w:pPr>
        <w:autoSpaceDE w:val="0"/>
        <w:autoSpaceDN w:val="0"/>
        <w:adjustRightInd w:val="0"/>
        <w:jc w:val="both"/>
        <w:rPr>
          <w:rFonts w:ascii="Garamond" w:eastAsia="Times New Roman" w:hAnsi="Garamond"/>
          <w:lang w:eastAsia="pt-BR"/>
        </w:rPr>
      </w:pPr>
      <w:r w:rsidRPr="00965A54">
        <w:rPr>
          <w:rFonts w:ascii="Garamond" w:eastAsia="Times New Roman" w:hAnsi="Garamond"/>
          <w:lang w:eastAsia="pt-BR"/>
        </w:rPr>
        <w:t>H2a: Viver um chamado moderará a relação entre a percepção do chamado e a satisfação no trabalho, de modo que para níveis mais altos de vivência de um chamado, mais forte será tal relação.</w:t>
      </w:r>
    </w:p>
    <w:p w14:paraId="3B20100F" w14:textId="77777777" w:rsidR="00965A54" w:rsidRPr="00965A54" w:rsidRDefault="00965A54" w:rsidP="00965A54">
      <w:pPr>
        <w:autoSpaceDE w:val="0"/>
        <w:autoSpaceDN w:val="0"/>
        <w:adjustRightInd w:val="0"/>
        <w:jc w:val="both"/>
        <w:rPr>
          <w:rFonts w:ascii="Garamond" w:eastAsia="Times New Roman" w:hAnsi="Garamond"/>
          <w:lang w:eastAsia="pt-BR"/>
        </w:rPr>
      </w:pPr>
      <w:r w:rsidRPr="00965A54">
        <w:rPr>
          <w:rFonts w:ascii="Garamond" w:eastAsia="Times New Roman" w:hAnsi="Garamond"/>
          <w:lang w:eastAsia="pt-BR"/>
        </w:rPr>
        <w:lastRenderedPageBreak/>
        <w:t>H2b: Viver um chamado moderará a relação entre a percepção do chamado e a satisfação com a vida, de modo que para níveis mais altos de vivência de um chamado, mais forte será tal relação.</w:t>
      </w:r>
    </w:p>
    <w:p w14:paraId="5814EE75" w14:textId="77777777" w:rsidR="00965A54" w:rsidRPr="00965A54" w:rsidRDefault="00965A54" w:rsidP="00965A54">
      <w:pPr>
        <w:autoSpaceDE w:val="0"/>
        <w:autoSpaceDN w:val="0"/>
        <w:adjustRightInd w:val="0"/>
        <w:jc w:val="both"/>
        <w:rPr>
          <w:rFonts w:ascii="Garamond" w:eastAsia="Times New Roman" w:hAnsi="Garamond"/>
          <w:lang w:eastAsia="pt-BR"/>
        </w:rPr>
      </w:pPr>
      <w:r w:rsidRPr="00965A54">
        <w:rPr>
          <w:rFonts w:ascii="Garamond" w:eastAsia="Times New Roman" w:hAnsi="Garamond"/>
          <w:lang w:eastAsia="pt-BR"/>
        </w:rPr>
        <w:t>Já Duffy et al. (2017) realizaram um estudo com 196 adultos aposentados estadunidenses, os resultados reforçam a ideia de que a percepção de um chamado está relacionada positivamente com significado da vida. Ainda, no referido estudo, o construto de viver um chamado ampliou esta relação, fato este que demonstra uma relação positiva e significativa entre os construtos, ou seja, a vivência de um chamado ampliou os resultados positivos da relação entre perceber um chamado e significado da vida. Desta forma propõe-se que:</w:t>
      </w:r>
    </w:p>
    <w:p w14:paraId="360CE4A2" w14:textId="77777777" w:rsidR="00965A54" w:rsidRPr="00965A54" w:rsidRDefault="00965A54" w:rsidP="00965A54">
      <w:pPr>
        <w:autoSpaceDE w:val="0"/>
        <w:autoSpaceDN w:val="0"/>
        <w:adjustRightInd w:val="0"/>
        <w:jc w:val="both"/>
        <w:rPr>
          <w:rFonts w:ascii="Garamond" w:eastAsia="Times New Roman" w:hAnsi="Garamond"/>
          <w:lang w:eastAsia="pt-BR"/>
        </w:rPr>
      </w:pPr>
      <w:r w:rsidRPr="00965A54">
        <w:rPr>
          <w:rFonts w:ascii="Garamond" w:eastAsia="Times New Roman" w:hAnsi="Garamond"/>
          <w:lang w:eastAsia="pt-BR"/>
        </w:rPr>
        <w:t>H2c: Viver um chamado moderará a relação entre a percepção do chamado e o significado da vida, de modo que para níveis mais altos de vivência de um chamado, mais forte será tal relação.</w:t>
      </w:r>
    </w:p>
    <w:p w14:paraId="27ABE46F" w14:textId="77777777" w:rsidR="00965A54" w:rsidRPr="00965A54" w:rsidRDefault="00965A54" w:rsidP="00965A54">
      <w:pPr>
        <w:autoSpaceDE w:val="0"/>
        <w:autoSpaceDN w:val="0"/>
        <w:adjustRightInd w:val="0"/>
        <w:jc w:val="both"/>
        <w:rPr>
          <w:rFonts w:ascii="Garamond" w:eastAsia="Times New Roman" w:hAnsi="Garamond"/>
          <w:lang w:eastAsia="pt-BR"/>
        </w:rPr>
      </w:pPr>
      <w:r w:rsidRPr="00965A54">
        <w:rPr>
          <w:rFonts w:ascii="Garamond" w:eastAsia="Times New Roman" w:hAnsi="Garamond"/>
          <w:lang w:eastAsia="pt-BR"/>
        </w:rPr>
        <w:t xml:space="preserve">A relação positiva entre perceber um chamado e bem-estar existencial, descrita por </w:t>
      </w:r>
      <w:proofErr w:type="spellStart"/>
      <w:r w:rsidRPr="00965A54">
        <w:rPr>
          <w:rFonts w:ascii="Garamond" w:eastAsia="Times New Roman" w:hAnsi="Garamond"/>
          <w:lang w:eastAsia="pt-BR"/>
        </w:rPr>
        <w:t>Steger</w:t>
      </w:r>
      <w:proofErr w:type="spellEnd"/>
      <w:r w:rsidRPr="00965A54">
        <w:rPr>
          <w:rFonts w:ascii="Garamond" w:eastAsia="Times New Roman" w:hAnsi="Garamond"/>
          <w:lang w:eastAsia="pt-BR"/>
        </w:rPr>
        <w:t xml:space="preserve"> et al. (2010), até o momento, foi pouco explorada na literatura, porém, o bem-estar existencial tem sido relacionado com propósito de vida (MacDonald, 2000), fato este que também ocorre com o chamado ocupacional (</w:t>
      </w:r>
      <w:proofErr w:type="spellStart"/>
      <w:r w:rsidRPr="00965A54">
        <w:rPr>
          <w:rFonts w:ascii="Garamond" w:eastAsia="Times New Roman" w:hAnsi="Garamond"/>
          <w:lang w:eastAsia="pt-BR"/>
        </w:rPr>
        <w:t>Dik</w:t>
      </w:r>
      <w:proofErr w:type="spellEnd"/>
      <w:r w:rsidRPr="00965A54">
        <w:rPr>
          <w:rFonts w:ascii="Garamond" w:eastAsia="Times New Roman" w:hAnsi="Garamond"/>
          <w:lang w:eastAsia="pt-BR"/>
        </w:rPr>
        <w:t xml:space="preserve"> &amp; Duffy, 2009; Duffy et al., 2018). Assim, sugere-se que a relação entre percepção de um chamado e o bem-estar existencial, pode ser ampliada com a vivência de um chamado. Desta forma propõe-se que:</w:t>
      </w:r>
    </w:p>
    <w:p w14:paraId="0867380A" w14:textId="77777777" w:rsidR="00965A54" w:rsidRPr="00965A54" w:rsidRDefault="00965A54" w:rsidP="00965A54">
      <w:pPr>
        <w:autoSpaceDE w:val="0"/>
        <w:autoSpaceDN w:val="0"/>
        <w:adjustRightInd w:val="0"/>
        <w:jc w:val="both"/>
        <w:rPr>
          <w:rFonts w:ascii="Garamond" w:eastAsia="Times New Roman" w:hAnsi="Garamond"/>
          <w:lang w:eastAsia="pt-BR"/>
        </w:rPr>
      </w:pPr>
      <w:r w:rsidRPr="00965A54">
        <w:rPr>
          <w:rFonts w:ascii="Garamond" w:eastAsia="Times New Roman" w:hAnsi="Garamond"/>
          <w:lang w:eastAsia="pt-BR"/>
        </w:rPr>
        <w:t>H2d: Viver um chamado moderará a relação entre a percepção do chamado e o bem-estar existencial, de modo que para níveis mais altos de vivência de um chamado, mais forte será tal relação.</w:t>
      </w:r>
    </w:p>
    <w:p w14:paraId="7ADD9692" w14:textId="77777777" w:rsidR="00965A54" w:rsidRPr="00965A54" w:rsidRDefault="00965A54" w:rsidP="00965A54">
      <w:pPr>
        <w:autoSpaceDE w:val="0"/>
        <w:autoSpaceDN w:val="0"/>
        <w:adjustRightInd w:val="0"/>
        <w:jc w:val="both"/>
        <w:rPr>
          <w:rFonts w:ascii="Garamond" w:eastAsia="Times New Roman" w:hAnsi="Garamond"/>
          <w:lang w:eastAsia="pt-BR"/>
        </w:rPr>
      </w:pPr>
      <w:r w:rsidRPr="00965A54">
        <w:rPr>
          <w:rFonts w:ascii="Garamond" w:eastAsia="Times New Roman" w:hAnsi="Garamond"/>
          <w:lang w:eastAsia="pt-BR"/>
        </w:rPr>
        <w:t xml:space="preserve">Os achados de Duffy et al. (2012) corroboram com a literatura no sentido de que viver um chamado potencializa os efeitos relacionados à percepção de um chamado. Os autores utilizaram uma amostra com 201 participantes estadunidenses. Os resultados apontam que viver um chamado foi um moderador significativo na relação entre perceber um chamado e o comprometimento com a carreira, logo tornou esta relação mais forte. Desta maneira, sugere-se que: </w:t>
      </w:r>
    </w:p>
    <w:p w14:paraId="479BC0BD" w14:textId="21E64F0F" w:rsidR="001456DA" w:rsidRDefault="00965A54" w:rsidP="00965A54">
      <w:pPr>
        <w:autoSpaceDE w:val="0"/>
        <w:autoSpaceDN w:val="0"/>
        <w:adjustRightInd w:val="0"/>
        <w:jc w:val="both"/>
        <w:rPr>
          <w:rFonts w:ascii="Garamond" w:eastAsia="Times New Roman" w:hAnsi="Garamond"/>
          <w:lang w:eastAsia="pt-BR"/>
        </w:rPr>
      </w:pPr>
      <w:r w:rsidRPr="00965A54">
        <w:rPr>
          <w:rFonts w:ascii="Garamond" w:eastAsia="Times New Roman" w:hAnsi="Garamond"/>
          <w:lang w:eastAsia="pt-BR"/>
        </w:rPr>
        <w:t>H2e: Viver um chamado moderará a relação entre a percepção do chamado e o comprometimento com a carreira, de modo que para níveis mais altos de vivência de um chamado, mais forte será tal relação.</w:t>
      </w:r>
    </w:p>
    <w:p w14:paraId="0CBAAFC3" w14:textId="45DE35D5" w:rsidR="001456DA" w:rsidRDefault="00B624F3" w:rsidP="00B43FE6">
      <w:pPr>
        <w:autoSpaceDE w:val="0"/>
        <w:autoSpaceDN w:val="0"/>
        <w:adjustRightInd w:val="0"/>
        <w:jc w:val="both"/>
        <w:rPr>
          <w:rFonts w:ascii="Garamond" w:eastAsia="Times New Roman" w:hAnsi="Garamond"/>
          <w:lang w:eastAsia="pt-BR"/>
        </w:rPr>
      </w:pPr>
      <w:r w:rsidRPr="00B624F3">
        <w:rPr>
          <w:rFonts w:ascii="Garamond" w:hAnsi="Garamond"/>
          <w:b/>
          <w:sz w:val="28"/>
          <w:szCs w:val="28"/>
          <w:lang w:eastAsia="pt-BR"/>
        </w:rPr>
        <w:t>Modelo teórico</w:t>
      </w:r>
    </w:p>
    <w:p w14:paraId="1344ED92" w14:textId="5067D1C9" w:rsidR="001456DA" w:rsidRDefault="00E53F5B" w:rsidP="00B43FE6">
      <w:pPr>
        <w:autoSpaceDE w:val="0"/>
        <w:autoSpaceDN w:val="0"/>
        <w:adjustRightInd w:val="0"/>
        <w:jc w:val="both"/>
        <w:rPr>
          <w:rFonts w:ascii="Garamond" w:eastAsia="Times New Roman" w:hAnsi="Garamond"/>
          <w:lang w:eastAsia="pt-BR"/>
        </w:rPr>
      </w:pPr>
      <w:r w:rsidRPr="00E53F5B">
        <w:rPr>
          <w:rFonts w:ascii="Garamond" w:eastAsia="Times New Roman" w:hAnsi="Garamond"/>
          <w:lang w:eastAsia="pt-BR"/>
        </w:rPr>
        <w:t>Com base nas hipóteses propostas, foi desenvolvido o modelo da Figura 1. Este modelo teórico apresenta as relações diretas e positivas entre o construto de perceber um chamado e os construtos de satisfação no trabalho, satisfação com a vida, significado da vida, bem-estar existencial e comprometimento com a carreira. Além disso, o modelo ainda propôs que estas relações são moderadas pelo construto de viver um chamado, de modo que, quanto maior o nível de vivência de um chamado mais fortes tendem a ser as relações diretas.</w:t>
      </w:r>
    </w:p>
    <w:p w14:paraId="411891C2" w14:textId="77777777" w:rsidR="00E33CCA" w:rsidRDefault="00E33CCA" w:rsidP="00B43FE6">
      <w:pPr>
        <w:autoSpaceDE w:val="0"/>
        <w:autoSpaceDN w:val="0"/>
        <w:adjustRightInd w:val="0"/>
        <w:jc w:val="both"/>
        <w:rPr>
          <w:rFonts w:ascii="Garamond" w:eastAsia="Times New Roman" w:hAnsi="Garamond"/>
          <w:lang w:eastAsia="pt-BR"/>
        </w:rPr>
      </w:pPr>
    </w:p>
    <w:p w14:paraId="1E9062AC" w14:textId="77777777" w:rsidR="00E33CCA" w:rsidRDefault="00E33CCA" w:rsidP="00B43FE6">
      <w:pPr>
        <w:autoSpaceDE w:val="0"/>
        <w:autoSpaceDN w:val="0"/>
        <w:adjustRightInd w:val="0"/>
        <w:jc w:val="both"/>
        <w:rPr>
          <w:rFonts w:ascii="Garamond" w:eastAsia="Times New Roman" w:hAnsi="Garamond"/>
          <w:lang w:eastAsia="pt-BR"/>
        </w:rPr>
      </w:pPr>
    </w:p>
    <w:p w14:paraId="6622FBA8" w14:textId="77777777" w:rsidR="00E33CCA" w:rsidRDefault="00E33CCA" w:rsidP="00B43FE6">
      <w:pPr>
        <w:autoSpaceDE w:val="0"/>
        <w:autoSpaceDN w:val="0"/>
        <w:adjustRightInd w:val="0"/>
        <w:jc w:val="both"/>
        <w:rPr>
          <w:rFonts w:ascii="Garamond" w:eastAsia="Times New Roman" w:hAnsi="Garamond"/>
          <w:lang w:eastAsia="pt-BR"/>
        </w:rPr>
      </w:pPr>
    </w:p>
    <w:p w14:paraId="6715B8C4" w14:textId="77777777" w:rsidR="00E33CCA" w:rsidRDefault="00E33CCA" w:rsidP="00B43FE6">
      <w:pPr>
        <w:autoSpaceDE w:val="0"/>
        <w:autoSpaceDN w:val="0"/>
        <w:adjustRightInd w:val="0"/>
        <w:jc w:val="both"/>
        <w:rPr>
          <w:rFonts w:ascii="Garamond" w:eastAsia="Times New Roman" w:hAnsi="Garamond"/>
          <w:lang w:eastAsia="pt-BR"/>
        </w:rPr>
      </w:pPr>
    </w:p>
    <w:p w14:paraId="03F668AA" w14:textId="77777777" w:rsidR="00E33CCA" w:rsidRDefault="00E33CCA" w:rsidP="00B43FE6">
      <w:pPr>
        <w:autoSpaceDE w:val="0"/>
        <w:autoSpaceDN w:val="0"/>
        <w:adjustRightInd w:val="0"/>
        <w:jc w:val="both"/>
        <w:rPr>
          <w:rFonts w:ascii="Garamond" w:eastAsia="Times New Roman" w:hAnsi="Garamond"/>
          <w:lang w:eastAsia="pt-BR"/>
        </w:rPr>
      </w:pPr>
    </w:p>
    <w:p w14:paraId="4EA8CE3F" w14:textId="3F912DF1" w:rsidR="007933AA" w:rsidRDefault="007933AA">
      <w:pPr>
        <w:spacing w:after="0"/>
        <w:rPr>
          <w:rFonts w:ascii="Garamond" w:eastAsia="Times New Roman" w:hAnsi="Garamond"/>
          <w:lang w:eastAsia="pt-BR"/>
        </w:rPr>
      </w:pPr>
      <w:r>
        <w:rPr>
          <w:rFonts w:ascii="Garamond" w:eastAsia="Times New Roman" w:hAnsi="Garamond"/>
          <w:lang w:eastAsia="pt-BR"/>
        </w:rPr>
        <w:br w:type="page"/>
      </w:r>
    </w:p>
    <w:p w14:paraId="3F9C4AC5" w14:textId="77777777" w:rsidR="00E33CCA" w:rsidRDefault="00E33CCA" w:rsidP="00B43FE6">
      <w:pPr>
        <w:autoSpaceDE w:val="0"/>
        <w:autoSpaceDN w:val="0"/>
        <w:adjustRightInd w:val="0"/>
        <w:jc w:val="both"/>
        <w:rPr>
          <w:rFonts w:ascii="Garamond" w:eastAsia="Times New Roman" w:hAnsi="Garamond"/>
          <w:lang w:eastAsia="pt-BR"/>
        </w:rPr>
      </w:pPr>
    </w:p>
    <w:p w14:paraId="42B686E6" w14:textId="0CB20F37" w:rsidR="00E33CCA" w:rsidRDefault="00E33CCA" w:rsidP="00B43FE6">
      <w:pPr>
        <w:autoSpaceDE w:val="0"/>
        <w:autoSpaceDN w:val="0"/>
        <w:adjustRightInd w:val="0"/>
        <w:jc w:val="both"/>
        <w:rPr>
          <w:rFonts w:ascii="Garamond" w:eastAsia="Times New Roman" w:hAnsi="Garamond"/>
          <w:sz w:val="20"/>
          <w:szCs w:val="20"/>
          <w:lang w:eastAsia="pt-BR"/>
        </w:rPr>
      </w:pPr>
      <w:r w:rsidRPr="00E33CCA">
        <w:rPr>
          <w:rFonts w:ascii="Garamond" w:eastAsia="Times New Roman" w:hAnsi="Garamond"/>
          <w:b/>
          <w:bCs/>
          <w:sz w:val="20"/>
          <w:szCs w:val="20"/>
          <w:lang w:eastAsia="pt-BR"/>
        </w:rPr>
        <w:t>Figura 1</w:t>
      </w:r>
      <w:r w:rsidRPr="00E33CCA">
        <w:rPr>
          <w:rFonts w:ascii="Garamond" w:eastAsia="Times New Roman" w:hAnsi="Garamond"/>
          <w:sz w:val="20"/>
          <w:szCs w:val="20"/>
          <w:lang w:eastAsia="pt-BR"/>
        </w:rPr>
        <w:t>. Modelo proposto</w:t>
      </w:r>
    </w:p>
    <w:p w14:paraId="08809C5A" w14:textId="35B81619" w:rsidR="00246157" w:rsidRPr="001E3EBD" w:rsidRDefault="001E3EBD" w:rsidP="0087024E">
      <w:pPr>
        <w:autoSpaceDE w:val="0"/>
        <w:autoSpaceDN w:val="0"/>
        <w:adjustRightInd w:val="0"/>
        <w:jc w:val="both"/>
        <w:rPr>
          <w:rFonts w:ascii="Garamond" w:eastAsia="Times New Roman" w:hAnsi="Garamond"/>
          <w:sz w:val="20"/>
          <w:szCs w:val="20"/>
          <w:lang w:eastAsia="pt-BR"/>
        </w:rPr>
      </w:pPr>
      <w:r w:rsidRPr="001E3EBD">
        <w:rPr>
          <w:rFonts w:ascii="Times New Roman" w:hAnsi="Times New Roman"/>
          <w:noProof/>
          <w:sz w:val="20"/>
          <w:szCs w:val="20"/>
          <w:bdr w:val="single" w:sz="4" w:space="0" w:color="auto"/>
        </w:rPr>
        <w:drawing>
          <wp:anchor distT="0" distB="0" distL="114300" distR="114300" simplePos="0" relativeHeight="251658240" behindDoc="0" locked="0" layoutInCell="1" allowOverlap="1" wp14:anchorId="78977F7D" wp14:editId="6C0906C5">
            <wp:simplePos x="0" y="0"/>
            <wp:positionH relativeFrom="column">
              <wp:posOffset>22860</wp:posOffset>
            </wp:positionH>
            <wp:positionV relativeFrom="paragraph">
              <wp:posOffset>24130</wp:posOffset>
            </wp:positionV>
            <wp:extent cx="4773295" cy="2877820"/>
            <wp:effectExtent l="19050" t="19050" r="27305" b="17780"/>
            <wp:wrapTopAndBottom/>
            <wp:docPr id="2"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iagrama&#10;&#10;Descrição gerada automaticamente"/>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4773295" cy="2877820"/>
                    </a:xfrm>
                    <a:prstGeom prst="rect">
                      <a:avLst/>
                    </a:prstGeom>
                    <a:ln w="3175">
                      <a:solidFill>
                        <a:schemeClr val="tx1"/>
                      </a:solidFill>
                      <a:extLst>
                        <a:ext uri="{C807C97D-BFC1-408E-A445-0C87EB9F89A2}">
                          <ask:lineSketchStyleProps xmlns:ask="http://schemas.microsoft.com/office/drawing/2018/sketchyshapes">
                            <ask:type>
                              <ask:lineSketchNone/>
                            </ask:type>
                          </ask:lineSketchStyleProps>
                        </a:ext>
                      </a:extLst>
                    </a:ln>
                    <a:extLst>
                      <a:ext uri="{53640926-AAD7-44D8-BBD7-CCE9431645EC}">
                        <a14:shadowObscured xmlns:a14="http://schemas.microsoft.com/office/drawing/2010/main"/>
                      </a:ext>
                    </a:extLst>
                  </pic:spPr>
                </pic:pic>
              </a:graphicData>
            </a:graphic>
          </wp:anchor>
        </w:drawing>
      </w:r>
      <w:r w:rsidR="0042216B" w:rsidRPr="001E3EBD">
        <w:rPr>
          <w:rFonts w:ascii="Garamond" w:eastAsia="Times New Roman" w:hAnsi="Garamond"/>
          <w:b/>
          <w:bCs/>
          <w:sz w:val="20"/>
          <w:szCs w:val="20"/>
          <w:lang w:eastAsia="pt-BR"/>
        </w:rPr>
        <w:t>Fonte</w:t>
      </w:r>
      <w:r w:rsidR="0042216B" w:rsidRPr="001E3EBD">
        <w:rPr>
          <w:rFonts w:ascii="Garamond" w:eastAsia="Times New Roman" w:hAnsi="Garamond"/>
          <w:sz w:val="20"/>
          <w:szCs w:val="20"/>
          <w:lang w:eastAsia="pt-BR"/>
        </w:rPr>
        <w:t>: Elaborada pelo autor</w:t>
      </w:r>
    </w:p>
    <w:p w14:paraId="58BD4CC0" w14:textId="77777777" w:rsidR="00584A2B" w:rsidRPr="004F5E05" w:rsidRDefault="009F6351" w:rsidP="009F1172">
      <w:pPr>
        <w:autoSpaceDE w:val="0"/>
        <w:autoSpaceDN w:val="0"/>
        <w:adjustRightInd w:val="0"/>
        <w:jc w:val="both"/>
        <w:rPr>
          <w:rFonts w:ascii="Garamond" w:hAnsi="Garamond"/>
          <w:b/>
          <w:sz w:val="28"/>
          <w:szCs w:val="28"/>
          <w:lang w:eastAsia="pt-BR"/>
        </w:rPr>
      </w:pPr>
      <w:r w:rsidRPr="004F5E05">
        <w:rPr>
          <w:rFonts w:ascii="Garamond" w:hAnsi="Garamond"/>
          <w:b/>
          <w:sz w:val="28"/>
          <w:szCs w:val="28"/>
          <w:lang w:eastAsia="pt-BR"/>
        </w:rPr>
        <w:t xml:space="preserve">Procedimentos </w:t>
      </w:r>
      <w:r w:rsidR="00EF2BC1" w:rsidRPr="004F5E05">
        <w:rPr>
          <w:rFonts w:ascii="Garamond" w:hAnsi="Garamond"/>
          <w:b/>
          <w:sz w:val="28"/>
          <w:szCs w:val="28"/>
          <w:lang w:eastAsia="pt-BR"/>
        </w:rPr>
        <w:t>metodológic</w:t>
      </w:r>
      <w:r w:rsidRPr="004F5E05">
        <w:rPr>
          <w:rFonts w:ascii="Garamond" w:hAnsi="Garamond"/>
          <w:b/>
          <w:sz w:val="28"/>
          <w:szCs w:val="28"/>
          <w:lang w:eastAsia="pt-BR"/>
        </w:rPr>
        <w:t>o</w:t>
      </w:r>
      <w:r w:rsidR="00EF2BC1" w:rsidRPr="004F5E05">
        <w:rPr>
          <w:rFonts w:ascii="Garamond" w:hAnsi="Garamond"/>
          <w:b/>
          <w:sz w:val="28"/>
          <w:szCs w:val="28"/>
          <w:lang w:eastAsia="pt-BR"/>
        </w:rPr>
        <w:t>s</w:t>
      </w:r>
    </w:p>
    <w:p w14:paraId="10902E5F" w14:textId="77777777" w:rsidR="00F34B69" w:rsidRPr="00F34B69" w:rsidRDefault="00F34B69" w:rsidP="00F34B69">
      <w:pPr>
        <w:autoSpaceDE w:val="0"/>
        <w:autoSpaceDN w:val="0"/>
        <w:adjustRightInd w:val="0"/>
        <w:jc w:val="both"/>
        <w:rPr>
          <w:rFonts w:ascii="Garamond" w:eastAsia="Times New Roman" w:hAnsi="Garamond"/>
          <w:lang w:eastAsia="pt-BR"/>
        </w:rPr>
      </w:pPr>
      <w:r w:rsidRPr="00F34B69">
        <w:rPr>
          <w:rFonts w:ascii="Garamond" w:eastAsia="Times New Roman" w:hAnsi="Garamond"/>
          <w:lang w:eastAsia="pt-BR"/>
        </w:rPr>
        <w:t>Para atender ao objetivo deste trabalho, adotou-se uma pesquisa quantitativa, descritiva e com coleta de dados primários e com corte transversal (</w:t>
      </w:r>
      <w:proofErr w:type="spellStart"/>
      <w:r w:rsidRPr="00F34B69">
        <w:rPr>
          <w:rFonts w:ascii="Garamond" w:eastAsia="Times New Roman" w:hAnsi="Garamond"/>
          <w:i/>
          <w:iCs/>
          <w:lang w:eastAsia="pt-BR"/>
        </w:rPr>
        <w:t>cross-section</w:t>
      </w:r>
      <w:proofErr w:type="spellEnd"/>
      <w:r w:rsidRPr="00F34B69">
        <w:rPr>
          <w:rFonts w:ascii="Garamond" w:eastAsia="Times New Roman" w:hAnsi="Garamond"/>
          <w:lang w:eastAsia="pt-BR"/>
        </w:rPr>
        <w:t xml:space="preserve">). A população-alvo foi composta por trabalhadores atuantes de diferentes profissões, idades, sexo e localidades do Brasil. Este estudo buscou alargar os tipos de profissões, dado que pesquisas anteriores focaram em profissões específicas comumente vistas como um chamado, como: médicos, enfermeiros, programadores de computador, por exemplo (Duffy et al., 2012). A amostragem foi do tipo não probabilística e por conveniência. </w:t>
      </w:r>
    </w:p>
    <w:p w14:paraId="064FB0DB" w14:textId="77777777" w:rsidR="00F34B69" w:rsidRPr="00F34B69" w:rsidRDefault="00F34B69" w:rsidP="00F34B69">
      <w:pPr>
        <w:autoSpaceDE w:val="0"/>
        <w:autoSpaceDN w:val="0"/>
        <w:adjustRightInd w:val="0"/>
        <w:jc w:val="both"/>
        <w:rPr>
          <w:rFonts w:ascii="Garamond" w:eastAsia="Times New Roman" w:hAnsi="Garamond"/>
          <w:lang w:eastAsia="pt-BR"/>
        </w:rPr>
      </w:pPr>
      <w:r w:rsidRPr="00F34B69">
        <w:rPr>
          <w:rFonts w:ascii="Garamond" w:eastAsia="Times New Roman" w:hAnsi="Garamond"/>
          <w:lang w:eastAsia="pt-BR"/>
        </w:rPr>
        <w:t xml:space="preserve">Para a realização da coleta de dados, foi desenvolvido um questionário estruturado, elaborado na plataforma </w:t>
      </w:r>
      <w:r w:rsidRPr="004D0E82">
        <w:rPr>
          <w:rFonts w:ascii="Garamond" w:eastAsia="Times New Roman" w:hAnsi="Garamond"/>
          <w:i/>
          <w:iCs/>
          <w:lang w:eastAsia="pt-BR"/>
        </w:rPr>
        <w:t>google forms</w:t>
      </w:r>
      <w:r w:rsidRPr="00F34B69">
        <w:rPr>
          <w:rFonts w:ascii="Garamond" w:eastAsia="Times New Roman" w:hAnsi="Garamond"/>
          <w:lang w:eastAsia="pt-BR"/>
        </w:rPr>
        <w:t xml:space="preserve">. Neste primeiro, foi apresentado um texto de boas-vindas e demais informações sobre a pesquisa, o pesquisador e a confidencialidade dos dados. Segundo, inseriu-se uma questão de corte: “Você está trabalhando atualmente?”, para verificar se o respondente estava trabalhando ou não no momento da pesquisa. A seguir, apresentou-se um texto conceituando o chamado ocupacional. </w:t>
      </w:r>
    </w:p>
    <w:p w14:paraId="3A4079D5" w14:textId="5A587961" w:rsidR="00F34B69" w:rsidRPr="00F34B69" w:rsidRDefault="00F34B69" w:rsidP="00F34B69">
      <w:pPr>
        <w:autoSpaceDE w:val="0"/>
        <w:autoSpaceDN w:val="0"/>
        <w:adjustRightInd w:val="0"/>
        <w:jc w:val="both"/>
        <w:rPr>
          <w:rFonts w:ascii="Garamond" w:eastAsia="Times New Roman" w:hAnsi="Garamond"/>
          <w:lang w:eastAsia="pt-BR"/>
        </w:rPr>
      </w:pPr>
      <w:r w:rsidRPr="00F34B69">
        <w:rPr>
          <w:rFonts w:ascii="Garamond" w:eastAsia="Times New Roman" w:hAnsi="Garamond"/>
          <w:lang w:eastAsia="pt-BR"/>
        </w:rPr>
        <w:t xml:space="preserve">Em seguida, apresentaram-se os sete construtos do modelo proposto, construtos estes validados em pesquisas anteriores, sendo: Perceber um chamado: foi utilizada a escala </w:t>
      </w:r>
      <w:proofErr w:type="spellStart"/>
      <w:r w:rsidRPr="004D0E82">
        <w:rPr>
          <w:rFonts w:ascii="Garamond" w:eastAsia="Times New Roman" w:hAnsi="Garamond"/>
          <w:i/>
          <w:iCs/>
          <w:lang w:eastAsia="pt-BR"/>
        </w:rPr>
        <w:t>Brief</w:t>
      </w:r>
      <w:proofErr w:type="spellEnd"/>
      <w:r w:rsidRPr="004D0E82">
        <w:rPr>
          <w:rFonts w:ascii="Garamond" w:eastAsia="Times New Roman" w:hAnsi="Garamond"/>
          <w:i/>
          <w:iCs/>
          <w:lang w:eastAsia="pt-BR"/>
        </w:rPr>
        <w:t xml:space="preserve"> Calling </w:t>
      </w:r>
      <w:proofErr w:type="spellStart"/>
      <w:r w:rsidRPr="004D0E82">
        <w:rPr>
          <w:rFonts w:ascii="Garamond" w:eastAsia="Times New Roman" w:hAnsi="Garamond"/>
          <w:i/>
          <w:iCs/>
          <w:lang w:eastAsia="pt-BR"/>
        </w:rPr>
        <w:t>Scale</w:t>
      </w:r>
      <w:proofErr w:type="spellEnd"/>
      <w:r w:rsidRPr="00F34B69">
        <w:rPr>
          <w:rFonts w:ascii="Garamond" w:eastAsia="Times New Roman" w:hAnsi="Garamond"/>
          <w:lang w:eastAsia="pt-BR"/>
        </w:rPr>
        <w:t xml:space="preserve"> (BCS) desenvolvida por </w:t>
      </w:r>
      <w:proofErr w:type="spellStart"/>
      <w:r w:rsidRPr="00F34B69">
        <w:rPr>
          <w:rFonts w:ascii="Garamond" w:eastAsia="Times New Roman" w:hAnsi="Garamond"/>
          <w:lang w:eastAsia="pt-BR"/>
        </w:rPr>
        <w:t>Dik</w:t>
      </w:r>
      <w:proofErr w:type="spellEnd"/>
      <w:r w:rsidR="00397C1F">
        <w:rPr>
          <w:rFonts w:ascii="Garamond" w:eastAsia="Times New Roman" w:hAnsi="Garamond"/>
          <w:lang w:eastAsia="pt-BR"/>
        </w:rPr>
        <w:t xml:space="preserve"> </w:t>
      </w:r>
      <w:r w:rsidR="00397C1F" w:rsidRPr="00E02F46">
        <w:rPr>
          <w:rFonts w:ascii="Garamond" w:eastAsia="Times New Roman" w:hAnsi="Garamond"/>
          <w:lang w:eastAsia="pt-BR"/>
        </w:rPr>
        <w:t xml:space="preserve">et al. </w:t>
      </w:r>
      <w:r w:rsidRPr="00F34B69">
        <w:rPr>
          <w:rFonts w:ascii="Garamond" w:eastAsia="Times New Roman" w:hAnsi="Garamond"/>
          <w:lang w:eastAsia="pt-BR"/>
        </w:rPr>
        <w:t xml:space="preserve">(2012), composto por 4 itens; Viver um chamado: foi adotada a escala </w:t>
      </w:r>
      <w:r w:rsidRPr="004D0E82">
        <w:rPr>
          <w:rFonts w:ascii="Garamond" w:eastAsia="Times New Roman" w:hAnsi="Garamond"/>
          <w:i/>
          <w:iCs/>
          <w:lang w:eastAsia="pt-BR"/>
        </w:rPr>
        <w:t xml:space="preserve">Living Calling </w:t>
      </w:r>
      <w:proofErr w:type="spellStart"/>
      <w:r w:rsidRPr="004D0E82">
        <w:rPr>
          <w:rFonts w:ascii="Garamond" w:eastAsia="Times New Roman" w:hAnsi="Garamond"/>
          <w:i/>
          <w:iCs/>
          <w:lang w:eastAsia="pt-BR"/>
        </w:rPr>
        <w:t>Scale</w:t>
      </w:r>
      <w:proofErr w:type="spellEnd"/>
      <w:r w:rsidRPr="00F34B69">
        <w:rPr>
          <w:rFonts w:ascii="Garamond" w:eastAsia="Times New Roman" w:hAnsi="Garamond"/>
          <w:lang w:eastAsia="pt-BR"/>
        </w:rPr>
        <w:t xml:space="preserve"> (LCS) desenvolvida por Duffy</w:t>
      </w:r>
      <w:r w:rsidR="00397C1F">
        <w:rPr>
          <w:rFonts w:ascii="Garamond" w:eastAsia="Times New Roman" w:hAnsi="Garamond"/>
          <w:lang w:eastAsia="pt-BR"/>
        </w:rPr>
        <w:t xml:space="preserve"> </w:t>
      </w:r>
      <w:r w:rsidR="00397C1F" w:rsidRPr="00E02F46">
        <w:rPr>
          <w:rFonts w:ascii="Garamond" w:eastAsia="Times New Roman" w:hAnsi="Garamond"/>
          <w:lang w:eastAsia="pt-BR"/>
        </w:rPr>
        <w:t xml:space="preserve">et al. </w:t>
      </w:r>
      <w:r w:rsidRPr="00F34B69">
        <w:rPr>
          <w:rFonts w:ascii="Garamond" w:eastAsia="Times New Roman" w:hAnsi="Garamond"/>
          <w:lang w:eastAsia="pt-BR"/>
        </w:rPr>
        <w:t xml:space="preserve">(2012) formado por 6 itens; Satisfação no trabalho: foi utilizada a escala de Janssen (2001) e Morris e </w:t>
      </w:r>
      <w:proofErr w:type="spellStart"/>
      <w:r w:rsidRPr="00F34B69">
        <w:rPr>
          <w:rFonts w:ascii="Garamond" w:eastAsia="Times New Roman" w:hAnsi="Garamond"/>
          <w:lang w:eastAsia="pt-BR"/>
        </w:rPr>
        <w:t>Venkatesh</w:t>
      </w:r>
      <w:proofErr w:type="spellEnd"/>
      <w:r w:rsidRPr="00F34B69">
        <w:rPr>
          <w:rFonts w:ascii="Garamond" w:eastAsia="Times New Roman" w:hAnsi="Garamond"/>
          <w:lang w:eastAsia="pt-BR"/>
        </w:rPr>
        <w:t xml:space="preserve"> (2010), formado por 3 itens; Satisfação com a vida: foi utilizada a escala </w:t>
      </w:r>
      <w:proofErr w:type="spellStart"/>
      <w:r w:rsidRPr="00414AED">
        <w:rPr>
          <w:rFonts w:ascii="Garamond" w:eastAsia="Times New Roman" w:hAnsi="Garamond"/>
          <w:i/>
          <w:iCs/>
          <w:lang w:eastAsia="pt-BR"/>
        </w:rPr>
        <w:t>Satisfaction</w:t>
      </w:r>
      <w:proofErr w:type="spellEnd"/>
      <w:r w:rsidRPr="00414AED">
        <w:rPr>
          <w:rFonts w:ascii="Garamond" w:eastAsia="Times New Roman" w:hAnsi="Garamond"/>
          <w:i/>
          <w:iCs/>
          <w:lang w:eastAsia="pt-BR"/>
        </w:rPr>
        <w:t xml:space="preserve"> </w:t>
      </w:r>
      <w:proofErr w:type="spellStart"/>
      <w:r w:rsidRPr="00414AED">
        <w:rPr>
          <w:rFonts w:ascii="Garamond" w:eastAsia="Times New Roman" w:hAnsi="Garamond"/>
          <w:i/>
          <w:iCs/>
          <w:lang w:eastAsia="pt-BR"/>
        </w:rPr>
        <w:t>with</w:t>
      </w:r>
      <w:proofErr w:type="spellEnd"/>
      <w:r w:rsidRPr="00414AED">
        <w:rPr>
          <w:rFonts w:ascii="Garamond" w:eastAsia="Times New Roman" w:hAnsi="Garamond"/>
          <w:i/>
          <w:iCs/>
          <w:lang w:eastAsia="pt-BR"/>
        </w:rPr>
        <w:t xml:space="preserve"> </w:t>
      </w:r>
      <w:proofErr w:type="spellStart"/>
      <w:r w:rsidRPr="00414AED">
        <w:rPr>
          <w:rFonts w:ascii="Garamond" w:eastAsia="Times New Roman" w:hAnsi="Garamond"/>
          <w:i/>
          <w:iCs/>
          <w:lang w:eastAsia="pt-BR"/>
        </w:rPr>
        <w:t>life</w:t>
      </w:r>
      <w:proofErr w:type="spellEnd"/>
      <w:r w:rsidRPr="00414AED">
        <w:rPr>
          <w:rFonts w:ascii="Garamond" w:eastAsia="Times New Roman" w:hAnsi="Garamond"/>
          <w:i/>
          <w:iCs/>
          <w:lang w:eastAsia="pt-BR"/>
        </w:rPr>
        <w:t xml:space="preserve"> </w:t>
      </w:r>
      <w:proofErr w:type="spellStart"/>
      <w:r w:rsidRPr="00414AED">
        <w:rPr>
          <w:rFonts w:ascii="Garamond" w:eastAsia="Times New Roman" w:hAnsi="Garamond"/>
          <w:i/>
          <w:iCs/>
          <w:lang w:eastAsia="pt-BR"/>
        </w:rPr>
        <w:t>scale</w:t>
      </w:r>
      <w:proofErr w:type="spellEnd"/>
      <w:r w:rsidRPr="00F34B69">
        <w:rPr>
          <w:rFonts w:ascii="Garamond" w:eastAsia="Times New Roman" w:hAnsi="Garamond"/>
          <w:lang w:eastAsia="pt-BR"/>
        </w:rPr>
        <w:t xml:space="preserve"> (SWLS) desenvolvida por </w:t>
      </w:r>
      <w:proofErr w:type="spellStart"/>
      <w:r w:rsidRPr="00F34B69">
        <w:rPr>
          <w:rFonts w:ascii="Garamond" w:eastAsia="Times New Roman" w:hAnsi="Garamond"/>
          <w:lang w:eastAsia="pt-BR"/>
        </w:rPr>
        <w:t>Diener</w:t>
      </w:r>
      <w:proofErr w:type="spellEnd"/>
      <w:r w:rsidRPr="00F34B69">
        <w:rPr>
          <w:rFonts w:ascii="Garamond" w:eastAsia="Times New Roman" w:hAnsi="Garamond"/>
          <w:lang w:eastAsia="pt-BR"/>
        </w:rPr>
        <w:t xml:space="preserve"> et al. (1985), composto por 5 itens. Significado da vida: Utilizou-se a escala </w:t>
      </w:r>
      <w:proofErr w:type="spellStart"/>
      <w:r w:rsidRPr="00414AED">
        <w:rPr>
          <w:rFonts w:ascii="Garamond" w:eastAsia="Times New Roman" w:hAnsi="Garamond"/>
          <w:i/>
          <w:iCs/>
          <w:lang w:eastAsia="pt-BR"/>
        </w:rPr>
        <w:t>Meaning</w:t>
      </w:r>
      <w:proofErr w:type="spellEnd"/>
      <w:r w:rsidRPr="00414AED">
        <w:rPr>
          <w:rFonts w:ascii="Garamond" w:eastAsia="Times New Roman" w:hAnsi="Garamond"/>
          <w:i/>
          <w:iCs/>
          <w:lang w:eastAsia="pt-BR"/>
        </w:rPr>
        <w:t xml:space="preserve"> in Life </w:t>
      </w:r>
      <w:proofErr w:type="spellStart"/>
      <w:r w:rsidRPr="00414AED">
        <w:rPr>
          <w:rFonts w:ascii="Garamond" w:eastAsia="Times New Roman" w:hAnsi="Garamond"/>
          <w:i/>
          <w:iCs/>
          <w:lang w:eastAsia="pt-BR"/>
        </w:rPr>
        <w:t>Questionnaire</w:t>
      </w:r>
      <w:proofErr w:type="spellEnd"/>
      <w:r w:rsidRPr="00F34B69">
        <w:rPr>
          <w:rFonts w:ascii="Garamond" w:eastAsia="Times New Roman" w:hAnsi="Garamond"/>
          <w:lang w:eastAsia="pt-BR"/>
        </w:rPr>
        <w:t xml:space="preserve"> (MLQ) desenvolvida por </w:t>
      </w:r>
      <w:proofErr w:type="spellStart"/>
      <w:r w:rsidRPr="00F34B69">
        <w:rPr>
          <w:rFonts w:ascii="Garamond" w:eastAsia="Times New Roman" w:hAnsi="Garamond"/>
          <w:lang w:eastAsia="pt-BR"/>
        </w:rPr>
        <w:t>Steger</w:t>
      </w:r>
      <w:proofErr w:type="spellEnd"/>
      <w:r w:rsidRPr="00F34B69">
        <w:rPr>
          <w:rFonts w:ascii="Garamond" w:eastAsia="Times New Roman" w:hAnsi="Garamond"/>
          <w:lang w:eastAsia="pt-BR"/>
        </w:rPr>
        <w:t xml:space="preserve"> et al. (2006), a escala é dividida em duas dimensões, optou-se pela utilização da dimensão de percepção do significado da vida, porque o objetivo não foi verificar a procura e sim a presença, o construto é formado por 5 itens; Bem-estar existencial: utilizou-se a subescala </w:t>
      </w:r>
      <w:proofErr w:type="spellStart"/>
      <w:r w:rsidRPr="00414AED">
        <w:rPr>
          <w:rFonts w:ascii="Garamond" w:eastAsia="Times New Roman" w:hAnsi="Garamond"/>
          <w:i/>
          <w:iCs/>
          <w:lang w:eastAsia="pt-BR"/>
        </w:rPr>
        <w:t>Existential</w:t>
      </w:r>
      <w:proofErr w:type="spellEnd"/>
      <w:r w:rsidRPr="00414AED">
        <w:rPr>
          <w:rFonts w:ascii="Garamond" w:eastAsia="Times New Roman" w:hAnsi="Garamond"/>
          <w:i/>
          <w:iCs/>
          <w:lang w:eastAsia="pt-BR"/>
        </w:rPr>
        <w:t xml:space="preserve"> </w:t>
      </w:r>
      <w:proofErr w:type="spellStart"/>
      <w:r w:rsidRPr="00414AED">
        <w:rPr>
          <w:rFonts w:ascii="Garamond" w:eastAsia="Times New Roman" w:hAnsi="Garamond"/>
          <w:i/>
          <w:iCs/>
          <w:lang w:eastAsia="pt-BR"/>
        </w:rPr>
        <w:t>well-being</w:t>
      </w:r>
      <w:proofErr w:type="spellEnd"/>
      <w:r w:rsidRPr="00F34B69">
        <w:rPr>
          <w:rFonts w:ascii="Garamond" w:eastAsia="Times New Roman" w:hAnsi="Garamond"/>
          <w:lang w:eastAsia="pt-BR"/>
        </w:rPr>
        <w:t xml:space="preserve"> (EWB), oriunda da escala </w:t>
      </w:r>
      <w:proofErr w:type="spellStart"/>
      <w:r w:rsidRPr="00414AED">
        <w:rPr>
          <w:rFonts w:ascii="Garamond" w:eastAsia="Times New Roman" w:hAnsi="Garamond"/>
          <w:i/>
          <w:iCs/>
          <w:lang w:eastAsia="pt-BR"/>
        </w:rPr>
        <w:t>Expressions</w:t>
      </w:r>
      <w:proofErr w:type="spellEnd"/>
      <w:r w:rsidRPr="00414AED">
        <w:rPr>
          <w:rFonts w:ascii="Garamond" w:eastAsia="Times New Roman" w:hAnsi="Garamond"/>
          <w:i/>
          <w:iCs/>
          <w:lang w:eastAsia="pt-BR"/>
        </w:rPr>
        <w:t xml:space="preserve"> </w:t>
      </w:r>
      <w:proofErr w:type="spellStart"/>
      <w:r w:rsidRPr="00414AED">
        <w:rPr>
          <w:rFonts w:ascii="Garamond" w:eastAsia="Times New Roman" w:hAnsi="Garamond"/>
          <w:i/>
          <w:iCs/>
          <w:lang w:eastAsia="pt-BR"/>
        </w:rPr>
        <w:t>of</w:t>
      </w:r>
      <w:proofErr w:type="spellEnd"/>
      <w:r w:rsidRPr="00414AED">
        <w:rPr>
          <w:rFonts w:ascii="Garamond" w:eastAsia="Times New Roman" w:hAnsi="Garamond"/>
          <w:i/>
          <w:iCs/>
          <w:lang w:eastAsia="pt-BR"/>
        </w:rPr>
        <w:t xml:space="preserve"> </w:t>
      </w:r>
      <w:proofErr w:type="spellStart"/>
      <w:r w:rsidRPr="00414AED">
        <w:rPr>
          <w:rFonts w:ascii="Garamond" w:eastAsia="Times New Roman" w:hAnsi="Garamond"/>
          <w:i/>
          <w:iCs/>
          <w:lang w:eastAsia="pt-BR"/>
        </w:rPr>
        <w:t>Spirituality</w:t>
      </w:r>
      <w:proofErr w:type="spellEnd"/>
      <w:r w:rsidRPr="00414AED">
        <w:rPr>
          <w:rFonts w:ascii="Garamond" w:eastAsia="Times New Roman" w:hAnsi="Garamond"/>
          <w:i/>
          <w:iCs/>
          <w:lang w:eastAsia="pt-BR"/>
        </w:rPr>
        <w:t xml:space="preserve"> </w:t>
      </w:r>
      <w:proofErr w:type="spellStart"/>
      <w:r w:rsidRPr="00414AED">
        <w:rPr>
          <w:rFonts w:ascii="Garamond" w:eastAsia="Times New Roman" w:hAnsi="Garamond"/>
          <w:i/>
          <w:iCs/>
          <w:lang w:eastAsia="pt-BR"/>
        </w:rPr>
        <w:t>Scale</w:t>
      </w:r>
      <w:proofErr w:type="spellEnd"/>
      <w:r w:rsidRPr="00F34B69">
        <w:rPr>
          <w:rFonts w:ascii="Garamond" w:eastAsia="Times New Roman" w:hAnsi="Garamond"/>
          <w:lang w:eastAsia="pt-BR"/>
        </w:rPr>
        <w:t xml:space="preserve"> (ESS) desenvolvida por MacDonald (2000), formado por 6 itens; Comprometimento com a carreira: foi adotada a escala desenvolvida por Blau (1985), formado por 8 itens. Por fim, destaca-se que para mensurar os construtos foi utilizada uma escala de Likert de 7 (Sete) pontos, que variou de 1 (discordo totalmente) a 7 (concordo totalmente). Por fim, na quinta e última parte, foram tratadas as questões demográficas, sendo elas: idade, sexo, </w:t>
      </w:r>
      <w:r w:rsidRPr="00F34B69">
        <w:rPr>
          <w:rFonts w:ascii="Garamond" w:eastAsia="Times New Roman" w:hAnsi="Garamond"/>
          <w:lang w:eastAsia="pt-BR"/>
        </w:rPr>
        <w:lastRenderedPageBreak/>
        <w:t>estado civil, escolaridade, setor de trabalho, regime de trabalho, renda, região e tempo de atuação na empresa.</w:t>
      </w:r>
    </w:p>
    <w:p w14:paraId="568EA3AA" w14:textId="77777777" w:rsidR="00F34B69" w:rsidRPr="00F34B69" w:rsidRDefault="00F34B69" w:rsidP="00F34B69">
      <w:pPr>
        <w:autoSpaceDE w:val="0"/>
        <w:autoSpaceDN w:val="0"/>
        <w:adjustRightInd w:val="0"/>
        <w:jc w:val="both"/>
        <w:rPr>
          <w:rFonts w:ascii="Garamond" w:eastAsia="Times New Roman" w:hAnsi="Garamond"/>
          <w:lang w:eastAsia="pt-BR"/>
        </w:rPr>
      </w:pPr>
      <w:r w:rsidRPr="00F34B69">
        <w:rPr>
          <w:rFonts w:ascii="Garamond" w:eastAsia="Times New Roman" w:hAnsi="Garamond"/>
          <w:lang w:eastAsia="pt-BR"/>
        </w:rPr>
        <w:t>Para validação do questionário foi realizado um pré-teste com 20 participantes. Destaca-se que foram efetuadas algumas melhorias relacionadas a compreensão dos itens. Após validado, o questionário foi divulgado por meio de mídias digitais (</w:t>
      </w:r>
      <w:proofErr w:type="spellStart"/>
      <w:r w:rsidRPr="00414AED">
        <w:rPr>
          <w:rFonts w:ascii="Garamond" w:eastAsia="Times New Roman" w:hAnsi="Garamond"/>
          <w:i/>
          <w:iCs/>
          <w:lang w:eastAsia="pt-BR"/>
        </w:rPr>
        <w:t>whatsapp</w:t>
      </w:r>
      <w:proofErr w:type="spellEnd"/>
      <w:r w:rsidRPr="00414AED">
        <w:rPr>
          <w:rFonts w:ascii="Garamond" w:eastAsia="Times New Roman" w:hAnsi="Garamond"/>
          <w:i/>
          <w:iCs/>
          <w:lang w:eastAsia="pt-BR"/>
        </w:rPr>
        <w:t xml:space="preserve">, </w:t>
      </w:r>
      <w:proofErr w:type="spellStart"/>
      <w:r w:rsidRPr="00414AED">
        <w:rPr>
          <w:rFonts w:ascii="Garamond" w:eastAsia="Times New Roman" w:hAnsi="Garamond"/>
          <w:i/>
          <w:iCs/>
          <w:lang w:eastAsia="pt-BR"/>
        </w:rPr>
        <w:t>linkedin</w:t>
      </w:r>
      <w:proofErr w:type="spellEnd"/>
      <w:r w:rsidRPr="00F34B69">
        <w:rPr>
          <w:rFonts w:ascii="Garamond" w:eastAsia="Times New Roman" w:hAnsi="Garamond"/>
          <w:lang w:eastAsia="pt-BR"/>
        </w:rPr>
        <w:t xml:space="preserve">, e-mail e </w:t>
      </w:r>
      <w:proofErr w:type="spellStart"/>
      <w:r w:rsidRPr="00414AED">
        <w:rPr>
          <w:rFonts w:ascii="Garamond" w:eastAsia="Times New Roman" w:hAnsi="Garamond"/>
          <w:i/>
          <w:iCs/>
          <w:lang w:eastAsia="pt-BR"/>
        </w:rPr>
        <w:t>instagram</w:t>
      </w:r>
      <w:proofErr w:type="spellEnd"/>
      <w:r w:rsidRPr="00F34B69">
        <w:rPr>
          <w:rFonts w:ascii="Garamond" w:eastAsia="Times New Roman" w:hAnsi="Garamond"/>
          <w:lang w:eastAsia="pt-BR"/>
        </w:rPr>
        <w:t xml:space="preserve">). Os dados foram coletados no período de dezembro de 2020 a fevereiro de 2021. Obteve-se um o total de 576 respostas, sendo eliminadas 54 respostas por não cumprirem com o quesito da variável de corte: “Estar trabalhando”, restando 522 respostas. Para estimar o tamanho mínimo da amostra a priori, foi utilizado o software G*POWER, seguindo as recomendações de </w:t>
      </w:r>
      <w:proofErr w:type="spellStart"/>
      <w:r w:rsidRPr="00F34B69">
        <w:rPr>
          <w:rFonts w:ascii="Garamond" w:eastAsia="Times New Roman" w:hAnsi="Garamond"/>
          <w:lang w:eastAsia="pt-BR"/>
        </w:rPr>
        <w:t>Ringle</w:t>
      </w:r>
      <w:proofErr w:type="spellEnd"/>
      <w:r w:rsidRPr="00F34B69">
        <w:rPr>
          <w:rFonts w:ascii="Garamond" w:eastAsia="Times New Roman" w:hAnsi="Garamond"/>
          <w:lang w:eastAsia="pt-BR"/>
        </w:rPr>
        <w:t xml:space="preserve">, Silva e </w:t>
      </w:r>
      <w:proofErr w:type="spellStart"/>
      <w:r w:rsidRPr="00F34B69">
        <w:rPr>
          <w:rFonts w:ascii="Garamond" w:eastAsia="Times New Roman" w:hAnsi="Garamond"/>
          <w:lang w:eastAsia="pt-BR"/>
        </w:rPr>
        <w:t>Bido</w:t>
      </w:r>
      <w:proofErr w:type="spellEnd"/>
      <w:r w:rsidRPr="00F34B69">
        <w:rPr>
          <w:rFonts w:ascii="Garamond" w:eastAsia="Times New Roman" w:hAnsi="Garamond"/>
          <w:lang w:eastAsia="pt-BR"/>
        </w:rPr>
        <w:t xml:space="preserve"> (2014), como um tamanho do efeito f² de 0,15, tamanho do poder de 0,95 e número de preditores de 4, sendo necessário 129 respostas. Foram obtidas 522, ou seja, o número de respostas foi suficiente. </w:t>
      </w:r>
    </w:p>
    <w:p w14:paraId="39298EF2" w14:textId="77777777" w:rsidR="00F34B69" w:rsidRPr="00F34B69" w:rsidRDefault="00F34B69" w:rsidP="00F34B69">
      <w:pPr>
        <w:autoSpaceDE w:val="0"/>
        <w:autoSpaceDN w:val="0"/>
        <w:adjustRightInd w:val="0"/>
        <w:jc w:val="both"/>
        <w:rPr>
          <w:rFonts w:ascii="Garamond" w:eastAsia="Times New Roman" w:hAnsi="Garamond"/>
          <w:lang w:eastAsia="pt-BR"/>
        </w:rPr>
      </w:pPr>
      <w:r w:rsidRPr="00F34B69">
        <w:rPr>
          <w:rFonts w:ascii="Garamond" w:eastAsia="Times New Roman" w:hAnsi="Garamond"/>
          <w:lang w:eastAsia="pt-BR"/>
        </w:rPr>
        <w:t xml:space="preserve">Quanto a caracterização da amostra, em relação ao sexo, foram: 50% masculino e 50% feminino; a maioria dos respondentes possuíam idade entre 25 e 40 anos (58,24%); casados (50%); possuem ensino superior (37,55%); trabalham no setor educacional (24,52%); em regime de trabalho formal (36,78%); renda entre 2 e 5 </w:t>
      </w:r>
      <w:proofErr w:type="gramStart"/>
      <w:r w:rsidRPr="00F34B69">
        <w:rPr>
          <w:rFonts w:ascii="Garamond" w:eastAsia="Times New Roman" w:hAnsi="Garamond"/>
          <w:lang w:eastAsia="pt-BR"/>
        </w:rPr>
        <w:t>salários mínimos</w:t>
      </w:r>
      <w:proofErr w:type="gramEnd"/>
      <w:r w:rsidRPr="00F34B69">
        <w:rPr>
          <w:rFonts w:ascii="Garamond" w:eastAsia="Times New Roman" w:hAnsi="Garamond"/>
          <w:lang w:eastAsia="pt-BR"/>
        </w:rPr>
        <w:t xml:space="preserve"> (37,36%); residem na região centro-oeste (58,43%); e estavam no emprego a mais de 3 anos (55,94%).</w:t>
      </w:r>
    </w:p>
    <w:p w14:paraId="6E86BD9C" w14:textId="533DF068" w:rsidR="009F6351" w:rsidRPr="004F5E05" w:rsidRDefault="00F34B69" w:rsidP="00F34B69">
      <w:pPr>
        <w:autoSpaceDE w:val="0"/>
        <w:autoSpaceDN w:val="0"/>
        <w:adjustRightInd w:val="0"/>
        <w:jc w:val="both"/>
        <w:rPr>
          <w:rFonts w:ascii="Garamond" w:hAnsi="Garamond"/>
          <w:b/>
          <w:sz w:val="28"/>
          <w:szCs w:val="28"/>
          <w:lang w:eastAsia="pt-BR"/>
        </w:rPr>
      </w:pPr>
      <w:r w:rsidRPr="00F34B69">
        <w:rPr>
          <w:rFonts w:ascii="Garamond" w:eastAsia="Times New Roman" w:hAnsi="Garamond"/>
          <w:lang w:eastAsia="pt-BR"/>
        </w:rPr>
        <w:t xml:space="preserve">Para analisar os dados, utilizou-se a modelagem de equações estruturais (MEE), e o software </w:t>
      </w:r>
      <w:proofErr w:type="spellStart"/>
      <w:r w:rsidRPr="00F34B69">
        <w:rPr>
          <w:rFonts w:ascii="Garamond" w:eastAsia="Times New Roman" w:hAnsi="Garamond"/>
          <w:lang w:eastAsia="pt-BR"/>
        </w:rPr>
        <w:t>SmartPLS</w:t>
      </w:r>
      <w:proofErr w:type="spellEnd"/>
      <w:r w:rsidRPr="00F34B69">
        <w:rPr>
          <w:rFonts w:ascii="Garamond" w:eastAsia="Times New Roman" w:hAnsi="Garamond"/>
          <w:lang w:eastAsia="pt-BR"/>
        </w:rPr>
        <w:t xml:space="preserve"> 3.0. A análise de MEE foi dividida em duas etapas (</w:t>
      </w:r>
      <w:proofErr w:type="spellStart"/>
      <w:r w:rsidRPr="00F34B69">
        <w:rPr>
          <w:rFonts w:ascii="Garamond" w:eastAsia="Times New Roman" w:hAnsi="Garamond"/>
          <w:lang w:eastAsia="pt-BR"/>
        </w:rPr>
        <w:t>Hair</w:t>
      </w:r>
      <w:proofErr w:type="spellEnd"/>
      <w:r w:rsidR="00397C1F">
        <w:rPr>
          <w:rFonts w:ascii="Garamond" w:eastAsia="Times New Roman" w:hAnsi="Garamond"/>
          <w:lang w:eastAsia="pt-BR"/>
        </w:rPr>
        <w:t xml:space="preserve"> </w:t>
      </w:r>
      <w:r w:rsidR="00397C1F" w:rsidRPr="00E02F46">
        <w:rPr>
          <w:rFonts w:ascii="Garamond" w:eastAsia="Times New Roman" w:hAnsi="Garamond"/>
          <w:lang w:eastAsia="pt-BR"/>
        </w:rPr>
        <w:t>et al.</w:t>
      </w:r>
      <w:r w:rsidRPr="00F34B69">
        <w:rPr>
          <w:rFonts w:ascii="Garamond" w:eastAsia="Times New Roman" w:hAnsi="Garamond"/>
          <w:lang w:eastAsia="pt-BR"/>
        </w:rPr>
        <w:t xml:space="preserve">, 2011; </w:t>
      </w:r>
      <w:proofErr w:type="spellStart"/>
      <w:r w:rsidRPr="00F34B69">
        <w:rPr>
          <w:rFonts w:ascii="Garamond" w:eastAsia="Times New Roman" w:hAnsi="Garamond"/>
          <w:lang w:eastAsia="pt-BR"/>
        </w:rPr>
        <w:t>Bido</w:t>
      </w:r>
      <w:proofErr w:type="spellEnd"/>
      <w:r w:rsidRPr="00F34B69">
        <w:rPr>
          <w:rFonts w:ascii="Garamond" w:eastAsia="Times New Roman" w:hAnsi="Garamond"/>
          <w:lang w:eastAsia="pt-BR"/>
        </w:rPr>
        <w:t xml:space="preserve"> &amp; Silva, 2019). Na primeira etapa, foi realizada a </w:t>
      </w:r>
      <w:r w:rsidR="007C49ED" w:rsidRPr="00F34B69">
        <w:rPr>
          <w:rFonts w:ascii="Garamond" w:eastAsia="Times New Roman" w:hAnsi="Garamond"/>
          <w:lang w:eastAsia="pt-BR"/>
        </w:rPr>
        <w:t>análise</w:t>
      </w:r>
      <w:r w:rsidRPr="00F34B69">
        <w:rPr>
          <w:rFonts w:ascii="Garamond" w:eastAsia="Times New Roman" w:hAnsi="Garamond"/>
          <w:lang w:eastAsia="pt-BR"/>
        </w:rPr>
        <w:t xml:space="preserve"> fatorial confirmatória (validade convergente, confiabilidade e validade discriminante) para avaliar o modelo de mensuração. E na segunda etapa foi realizado o teste das hipóteses.</w:t>
      </w:r>
    </w:p>
    <w:p w14:paraId="4224F724" w14:textId="77777777" w:rsidR="00C525BF" w:rsidRDefault="009F6351" w:rsidP="00C525BF">
      <w:pPr>
        <w:autoSpaceDE w:val="0"/>
        <w:autoSpaceDN w:val="0"/>
        <w:adjustRightInd w:val="0"/>
        <w:jc w:val="both"/>
        <w:rPr>
          <w:rFonts w:ascii="Garamond" w:hAnsi="Garamond"/>
          <w:b/>
          <w:sz w:val="28"/>
          <w:szCs w:val="28"/>
          <w:lang w:eastAsia="pt-BR"/>
        </w:rPr>
      </w:pPr>
      <w:r w:rsidRPr="004F5E05">
        <w:rPr>
          <w:rFonts w:ascii="Garamond" w:hAnsi="Garamond"/>
          <w:b/>
          <w:sz w:val="28"/>
          <w:szCs w:val="28"/>
          <w:lang w:eastAsia="pt-BR"/>
        </w:rPr>
        <w:t>Apresentação e análise dos resultados</w:t>
      </w:r>
    </w:p>
    <w:p w14:paraId="495393EA" w14:textId="41CD7D76" w:rsidR="00D61307" w:rsidRPr="004F5E05" w:rsidRDefault="006725A6" w:rsidP="00C525BF">
      <w:pPr>
        <w:autoSpaceDE w:val="0"/>
        <w:autoSpaceDN w:val="0"/>
        <w:adjustRightInd w:val="0"/>
        <w:jc w:val="both"/>
        <w:rPr>
          <w:rFonts w:ascii="Garamond" w:hAnsi="Garamond"/>
          <w:b/>
          <w:sz w:val="28"/>
          <w:szCs w:val="28"/>
          <w:lang w:eastAsia="pt-BR"/>
        </w:rPr>
      </w:pPr>
      <w:r w:rsidRPr="006725A6">
        <w:rPr>
          <w:rFonts w:ascii="Garamond" w:hAnsi="Garamond"/>
          <w:b/>
          <w:sz w:val="28"/>
          <w:szCs w:val="28"/>
          <w:lang w:eastAsia="pt-BR"/>
        </w:rPr>
        <w:t>Modelo de mensuração</w:t>
      </w:r>
    </w:p>
    <w:p w14:paraId="22EE0504" w14:textId="77777777" w:rsidR="00D82440" w:rsidRPr="00D82440" w:rsidRDefault="00D82440" w:rsidP="00D82440">
      <w:pPr>
        <w:autoSpaceDE w:val="0"/>
        <w:autoSpaceDN w:val="0"/>
        <w:adjustRightInd w:val="0"/>
        <w:jc w:val="both"/>
        <w:rPr>
          <w:rFonts w:ascii="Garamond" w:eastAsia="Times New Roman" w:hAnsi="Garamond"/>
          <w:lang w:eastAsia="pt-BR"/>
        </w:rPr>
      </w:pPr>
      <w:r w:rsidRPr="00D82440">
        <w:rPr>
          <w:rFonts w:ascii="Garamond" w:eastAsia="Times New Roman" w:hAnsi="Garamond"/>
          <w:lang w:eastAsia="pt-BR"/>
        </w:rPr>
        <w:t xml:space="preserve">Para validar o modelo de mensuração foi utilizada a Análise Fatorial Confirmatória (AFC), onde foram avaliadas a validade convergente, a confiabilidade composta e a validade discriminante. Inicialmente, para avaliar a validade convergente, foi verificada a variância média extraída (AVE - </w:t>
      </w:r>
      <w:proofErr w:type="spellStart"/>
      <w:r w:rsidRPr="00D82440">
        <w:rPr>
          <w:rFonts w:ascii="Garamond" w:eastAsia="Times New Roman" w:hAnsi="Garamond"/>
          <w:i/>
          <w:iCs/>
          <w:lang w:eastAsia="pt-BR"/>
        </w:rPr>
        <w:t>Average</w:t>
      </w:r>
      <w:proofErr w:type="spellEnd"/>
      <w:r w:rsidRPr="00D82440">
        <w:rPr>
          <w:rFonts w:ascii="Garamond" w:eastAsia="Times New Roman" w:hAnsi="Garamond"/>
          <w:i/>
          <w:iCs/>
          <w:lang w:eastAsia="pt-BR"/>
        </w:rPr>
        <w:t xml:space="preserve"> </w:t>
      </w:r>
      <w:proofErr w:type="spellStart"/>
      <w:r w:rsidRPr="00D82440">
        <w:rPr>
          <w:rFonts w:ascii="Garamond" w:eastAsia="Times New Roman" w:hAnsi="Garamond"/>
          <w:i/>
          <w:iCs/>
          <w:lang w:eastAsia="pt-BR"/>
        </w:rPr>
        <w:t>Variance</w:t>
      </w:r>
      <w:proofErr w:type="spellEnd"/>
      <w:r w:rsidRPr="00D82440">
        <w:rPr>
          <w:rFonts w:ascii="Garamond" w:eastAsia="Times New Roman" w:hAnsi="Garamond"/>
          <w:i/>
          <w:iCs/>
          <w:lang w:eastAsia="pt-BR"/>
        </w:rPr>
        <w:t xml:space="preserve"> </w:t>
      </w:r>
      <w:proofErr w:type="spellStart"/>
      <w:r w:rsidRPr="00D82440">
        <w:rPr>
          <w:rFonts w:ascii="Garamond" w:eastAsia="Times New Roman" w:hAnsi="Garamond"/>
          <w:i/>
          <w:iCs/>
          <w:lang w:eastAsia="pt-BR"/>
        </w:rPr>
        <w:t>Extracted</w:t>
      </w:r>
      <w:proofErr w:type="spellEnd"/>
      <w:r w:rsidRPr="00D82440">
        <w:rPr>
          <w:rFonts w:ascii="Garamond" w:eastAsia="Times New Roman" w:hAnsi="Garamond"/>
          <w:lang w:eastAsia="pt-BR"/>
        </w:rPr>
        <w:t>) que deve ser maior que 0,50 (</w:t>
      </w:r>
      <w:proofErr w:type="spellStart"/>
      <w:r w:rsidRPr="00D82440">
        <w:rPr>
          <w:rFonts w:ascii="Garamond" w:eastAsia="Times New Roman" w:hAnsi="Garamond"/>
          <w:lang w:eastAsia="pt-BR"/>
        </w:rPr>
        <w:t>Bido</w:t>
      </w:r>
      <w:proofErr w:type="spellEnd"/>
      <w:r w:rsidRPr="00D82440">
        <w:rPr>
          <w:rFonts w:ascii="Garamond" w:eastAsia="Times New Roman" w:hAnsi="Garamond"/>
          <w:lang w:eastAsia="pt-BR"/>
        </w:rPr>
        <w:t xml:space="preserve"> &amp; Silva, 2019). Neste caso, todos os construtos obtiveram valor de AVE acima de 0,50, exceto o construto comprometimento com a carreira (CC). Diante disso, foram removidas as variáveis deste construto com menor carga fatorial, sendo elas CC1 e CC8. Após a exclusão destas duas variáveis, o valor da AVE do construto ficou acima de 0,50. </w:t>
      </w:r>
    </w:p>
    <w:p w14:paraId="20432C78" w14:textId="77777777" w:rsidR="00D82440" w:rsidRPr="00D82440" w:rsidRDefault="00D82440" w:rsidP="00D82440">
      <w:pPr>
        <w:autoSpaceDE w:val="0"/>
        <w:autoSpaceDN w:val="0"/>
        <w:adjustRightInd w:val="0"/>
        <w:jc w:val="both"/>
        <w:rPr>
          <w:rFonts w:ascii="Garamond" w:eastAsia="Times New Roman" w:hAnsi="Garamond"/>
          <w:lang w:eastAsia="pt-BR"/>
        </w:rPr>
      </w:pPr>
      <w:r w:rsidRPr="00D82440">
        <w:rPr>
          <w:rFonts w:ascii="Garamond" w:eastAsia="Times New Roman" w:hAnsi="Garamond"/>
          <w:lang w:eastAsia="pt-BR"/>
        </w:rPr>
        <w:tab/>
        <w:t>Em seguida, foram avaliadas as cargas fatoriais das variáveis, nessa etapa sugere-se que se mantenham as variáveis com carga fatorial acima de 0,708 (</w:t>
      </w:r>
      <w:proofErr w:type="spellStart"/>
      <w:r w:rsidRPr="00D82440">
        <w:rPr>
          <w:rFonts w:ascii="Garamond" w:eastAsia="Times New Roman" w:hAnsi="Garamond"/>
          <w:lang w:eastAsia="pt-BR"/>
        </w:rPr>
        <w:t>Bido</w:t>
      </w:r>
      <w:proofErr w:type="spellEnd"/>
      <w:r w:rsidRPr="00D82440">
        <w:rPr>
          <w:rFonts w:ascii="Garamond" w:eastAsia="Times New Roman" w:hAnsi="Garamond"/>
          <w:lang w:eastAsia="pt-BR"/>
        </w:rPr>
        <w:t xml:space="preserve"> &amp; Silva, 2019). Porém, estes autores indicam que em casos </w:t>
      </w:r>
      <w:proofErr w:type="gramStart"/>
      <w:r w:rsidRPr="00D82440">
        <w:rPr>
          <w:rFonts w:ascii="Garamond" w:eastAsia="Times New Roman" w:hAnsi="Garamond"/>
          <w:lang w:eastAsia="pt-BR"/>
        </w:rPr>
        <w:t>onde</w:t>
      </w:r>
      <w:proofErr w:type="gramEnd"/>
      <w:r w:rsidRPr="00D82440">
        <w:rPr>
          <w:rFonts w:ascii="Garamond" w:eastAsia="Times New Roman" w:hAnsi="Garamond"/>
          <w:lang w:eastAsia="pt-BR"/>
        </w:rPr>
        <w:t xml:space="preserve"> algumas variáveis do construto possuem carga fatorial abaixo de 0,70, porém a AVE está acima de 0,50 e a confiabilidade composta (CC) acima de 0,70, recomenda-se manter o máximo de indicadores no modelo para não prejudicar a validade de conteúdo dos construtos. Nesse caso, mantiveram-se as variáveis com carga fatorial acima de 0,6. As variáveis que apresentaram cargas fatoriais com valores abaixo de 0,60 foram excluídas de seus respectivos construtos, sendo: PC3, PC4 e BE6. </w:t>
      </w:r>
    </w:p>
    <w:p w14:paraId="1F2A0875" w14:textId="4C0DAC0B" w:rsidR="009F6351" w:rsidRDefault="00D82440" w:rsidP="00D82440">
      <w:pPr>
        <w:autoSpaceDE w:val="0"/>
        <w:autoSpaceDN w:val="0"/>
        <w:adjustRightInd w:val="0"/>
        <w:jc w:val="both"/>
        <w:rPr>
          <w:rFonts w:ascii="Garamond" w:eastAsia="Times New Roman" w:hAnsi="Garamond"/>
          <w:lang w:eastAsia="pt-BR"/>
        </w:rPr>
      </w:pPr>
      <w:r w:rsidRPr="00D82440">
        <w:rPr>
          <w:rFonts w:ascii="Garamond" w:eastAsia="Times New Roman" w:hAnsi="Garamond"/>
          <w:lang w:eastAsia="pt-BR"/>
        </w:rPr>
        <w:tab/>
        <w:t xml:space="preserve">Para análise da confiabilidade, o </w:t>
      </w:r>
      <w:r w:rsidRPr="00D82440">
        <w:rPr>
          <w:rFonts w:ascii="Garamond" w:eastAsia="Times New Roman" w:hAnsi="Garamond"/>
          <w:i/>
          <w:iCs/>
          <w:lang w:eastAsia="pt-BR"/>
        </w:rPr>
        <w:t xml:space="preserve">Alfa de </w:t>
      </w:r>
      <w:proofErr w:type="spellStart"/>
      <w:r w:rsidRPr="00D82440">
        <w:rPr>
          <w:rFonts w:ascii="Garamond" w:eastAsia="Times New Roman" w:hAnsi="Garamond"/>
          <w:i/>
          <w:iCs/>
          <w:lang w:eastAsia="pt-BR"/>
        </w:rPr>
        <w:t>Cronbach</w:t>
      </w:r>
      <w:proofErr w:type="spellEnd"/>
      <w:r w:rsidRPr="00D82440">
        <w:rPr>
          <w:rFonts w:ascii="Garamond" w:eastAsia="Times New Roman" w:hAnsi="Garamond"/>
          <w:lang w:eastAsia="pt-BR"/>
        </w:rPr>
        <w:t xml:space="preserve"> (AC), a confiabilidade composta (CC) e o </w:t>
      </w:r>
      <w:proofErr w:type="spellStart"/>
      <w:r w:rsidRPr="00D82440">
        <w:rPr>
          <w:rFonts w:ascii="Garamond" w:eastAsia="Times New Roman" w:hAnsi="Garamond"/>
          <w:lang w:eastAsia="pt-BR"/>
        </w:rPr>
        <w:t>Rho_A</w:t>
      </w:r>
      <w:proofErr w:type="spellEnd"/>
      <w:r w:rsidRPr="00D82440">
        <w:rPr>
          <w:rFonts w:ascii="Garamond" w:eastAsia="Times New Roman" w:hAnsi="Garamond"/>
          <w:lang w:eastAsia="pt-BR"/>
        </w:rPr>
        <w:t xml:space="preserve"> devem ter valor superior a 0,70 (Ali et al., 2018; </w:t>
      </w:r>
      <w:proofErr w:type="spellStart"/>
      <w:r w:rsidRPr="00D82440">
        <w:rPr>
          <w:rFonts w:ascii="Garamond" w:eastAsia="Times New Roman" w:hAnsi="Garamond"/>
          <w:lang w:eastAsia="pt-BR"/>
        </w:rPr>
        <w:t>Bido</w:t>
      </w:r>
      <w:proofErr w:type="spellEnd"/>
      <w:r w:rsidRPr="00D82440">
        <w:rPr>
          <w:rFonts w:ascii="Garamond" w:eastAsia="Times New Roman" w:hAnsi="Garamond"/>
          <w:lang w:eastAsia="pt-BR"/>
        </w:rPr>
        <w:t xml:space="preserve"> &amp; Silva, 2019; </w:t>
      </w:r>
      <w:proofErr w:type="spellStart"/>
      <w:r w:rsidRPr="00D82440">
        <w:rPr>
          <w:rFonts w:ascii="Garamond" w:eastAsia="Times New Roman" w:hAnsi="Garamond"/>
          <w:lang w:eastAsia="pt-BR"/>
        </w:rPr>
        <w:t>Dijkstra</w:t>
      </w:r>
      <w:proofErr w:type="spellEnd"/>
      <w:r w:rsidRPr="00D82440">
        <w:rPr>
          <w:rFonts w:ascii="Garamond" w:eastAsia="Times New Roman" w:hAnsi="Garamond"/>
          <w:lang w:eastAsia="pt-BR"/>
        </w:rPr>
        <w:t xml:space="preserve"> &amp; </w:t>
      </w:r>
      <w:proofErr w:type="spellStart"/>
      <w:r w:rsidRPr="00D82440">
        <w:rPr>
          <w:rFonts w:ascii="Garamond" w:eastAsia="Times New Roman" w:hAnsi="Garamond"/>
          <w:lang w:eastAsia="pt-BR"/>
        </w:rPr>
        <w:t>Henseler</w:t>
      </w:r>
      <w:proofErr w:type="spellEnd"/>
      <w:r w:rsidRPr="00D82440">
        <w:rPr>
          <w:rFonts w:ascii="Garamond" w:eastAsia="Times New Roman" w:hAnsi="Garamond"/>
          <w:lang w:eastAsia="pt-BR"/>
        </w:rPr>
        <w:t xml:space="preserve">, 2015), verificou-se que todos os construtos apresentaram valores de AC, CC e </w:t>
      </w:r>
      <w:proofErr w:type="spellStart"/>
      <w:r w:rsidRPr="00D82440">
        <w:rPr>
          <w:rFonts w:ascii="Garamond" w:eastAsia="Times New Roman" w:hAnsi="Garamond"/>
          <w:lang w:eastAsia="pt-BR"/>
        </w:rPr>
        <w:t>Rho_A</w:t>
      </w:r>
      <w:proofErr w:type="spellEnd"/>
      <w:r w:rsidRPr="00D82440">
        <w:rPr>
          <w:rFonts w:ascii="Garamond" w:eastAsia="Times New Roman" w:hAnsi="Garamond"/>
          <w:lang w:eastAsia="pt-BR"/>
        </w:rPr>
        <w:t xml:space="preserve"> acima de 0,70. Neste caso, todos os critérios da validade convergente e confiabilidade foram alcançados, conforme pode ser verificado na tabela 1.</w:t>
      </w:r>
    </w:p>
    <w:p w14:paraId="085C2294" w14:textId="77777777" w:rsidR="00556FF0" w:rsidRDefault="00556FF0" w:rsidP="00D82440">
      <w:pPr>
        <w:autoSpaceDE w:val="0"/>
        <w:autoSpaceDN w:val="0"/>
        <w:adjustRightInd w:val="0"/>
        <w:jc w:val="both"/>
        <w:rPr>
          <w:rFonts w:ascii="Garamond" w:eastAsia="Times New Roman" w:hAnsi="Garamond"/>
          <w:lang w:eastAsia="pt-BR"/>
        </w:rPr>
      </w:pPr>
    </w:p>
    <w:p w14:paraId="16A15652" w14:textId="0210ED00" w:rsidR="00556FF0" w:rsidRPr="001F4F03" w:rsidRDefault="00556FF0" w:rsidP="00D82440">
      <w:pPr>
        <w:autoSpaceDE w:val="0"/>
        <w:autoSpaceDN w:val="0"/>
        <w:adjustRightInd w:val="0"/>
        <w:jc w:val="both"/>
        <w:rPr>
          <w:rFonts w:ascii="Garamond" w:eastAsia="Times New Roman" w:hAnsi="Garamond"/>
          <w:sz w:val="20"/>
          <w:szCs w:val="20"/>
          <w:lang w:eastAsia="pt-BR"/>
        </w:rPr>
      </w:pPr>
      <w:r w:rsidRPr="001F4F03">
        <w:rPr>
          <w:rFonts w:ascii="Garamond" w:eastAsia="Times New Roman" w:hAnsi="Garamond"/>
          <w:b/>
          <w:bCs/>
          <w:sz w:val="20"/>
          <w:szCs w:val="20"/>
          <w:lang w:eastAsia="pt-BR"/>
        </w:rPr>
        <w:lastRenderedPageBreak/>
        <w:t>Tabela 1</w:t>
      </w:r>
      <w:r w:rsidRPr="001F4F03">
        <w:rPr>
          <w:rFonts w:ascii="Garamond" w:eastAsia="Times New Roman" w:hAnsi="Garamond"/>
          <w:sz w:val="20"/>
          <w:szCs w:val="20"/>
          <w:lang w:eastAsia="pt-BR"/>
        </w:rPr>
        <w:t xml:space="preserve">. Indicadores de </w:t>
      </w:r>
      <w:r w:rsidR="00E20E0D">
        <w:rPr>
          <w:rFonts w:ascii="Garamond" w:eastAsia="Times New Roman" w:hAnsi="Garamond"/>
          <w:sz w:val="20"/>
          <w:szCs w:val="20"/>
          <w:lang w:eastAsia="pt-BR"/>
        </w:rPr>
        <w:t>v</w:t>
      </w:r>
      <w:r w:rsidRPr="001F4F03">
        <w:rPr>
          <w:rFonts w:ascii="Garamond" w:eastAsia="Times New Roman" w:hAnsi="Garamond"/>
          <w:sz w:val="20"/>
          <w:szCs w:val="20"/>
          <w:lang w:eastAsia="pt-BR"/>
        </w:rPr>
        <w:t xml:space="preserve">alidade </w:t>
      </w:r>
      <w:r w:rsidR="00E20E0D">
        <w:rPr>
          <w:rFonts w:ascii="Garamond" w:eastAsia="Times New Roman" w:hAnsi="Garamond"/>
          <w:sz w:val="20"/>
          <w:szCs w:val="20"/>
          <w:lang w:eastAsia="pt-BR"/>
        </w:rPr>
        <w:t>c</w:t>
      </w:r>
      <w:r w:rsidRPr="001F4F03">
        <w:rPr>
          <w:rFonts w:ascii="Garamond" w:eastAsia="Times New Roman" w:hAnsi="Garamond"/>
          <w:sz w:val="20"/>
          <w:szCs w:val="20"/>
          <w:lang w:eastAsia="pt-BR"/>
        </w:rPr>
        <w:t>onvergente</w:t>
      </w:r>
    </w:p>
    <w:tbl>
      <w:tblPr>
        <w:tblStyle w:val="Tabelacomgrade"/>
        <w:tblW w:w="0" w:type="auto"/>
        <w:tblLook w:val="04A0" w:firstRow="1" w:lastRow="0" w:firstColumn="1" w:lastColumn="0" w:noHBand="0" w:noVBand="1"/>
      </w:tblPr>
      <w:tblGrid>
        <w:gridCol w:w="1005"/>
        <w:gridCol w:w="783"/>
        <w:gridCol w:w="3815"/>
        <w:gridCol w:w="1046"/>
        <w:gridCol w:w="635"/>
        <w:gridCol w:w="1148"/>
        <w:gridCol w:w="781"/>
        <w:gridCol w:w="635"/>
      </w:tblGrid>
      <w:tr w:rsidR="00222CAA" w:rsidRPr="00391F08" w14:paraId="78FD8AE0" w14:textId="77777777" w:rsidTr="0096187D">
        <w:trPr>
          <w:trHeight w:val="739"/>
        </w:trPr>
        <w:tc>
          <w:tcPr>
            <w:tcW w:w="0" w:type="auto"/>
            <w:tcBorders>
              <w:left w:val="nil"/>
            </w:tcBorders>
            <w:vAlign w:val="center"/>
          </w:tcPr>
          <w:p w14:paraId="3E7AE955"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Construto</w:t>
            </w:r>
          </w:p>
        </w:tc>
        <w:tc>
          <w:tcPr>
            <w:tcW w:w="0" w:type="auto"/>
            <w:vAlign w:val="center"/>
          </w:tcPr>
          <w:p w14:paraId="0C562DB6"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Código</w:t>
            </w:r>
          </w:p>
        </w:tc>
        <w:tc>
          <w:tcPr>
            <w:tcW w:w="0" w:type="auto"/>
            <w:vAlign w:val="center"/>
          </w:tcPr>
          <w:p w14:paraId="61244BB3"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Definição</w:t>
            </w:r>
          </w:p>
        </w:tc>
        <w:tc>
          <w:tcPr>
            <w:tcW w:w="0" w:type="auto"/>
            <w:vAlign w:val="center"/>
          </w:tcPr>
          <w:p w14:paraId="4878EECA"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Cargas Fatoriais</w:t>
            </w:r>
          </w:p>
        </w:tc>
        <w:tc>
          <w:tcPr>
            <w:tcW w:w="0" w:type="auto"/>
            <w:vAlign w:val="center"/>
          </w:tcPr>
          <w:p w14:paraId="626D9046"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AVE</w:t>
            </w:r>
          </w:p>
        </w:tc>
        <w:tc>
          <w:tcPr>
            <w:tcW w:w="0" w:type="auto"/>
            <w:vAlign w:val="center"/>
          </w:tcPr>
          <w:p w14:paraId="2044C5EB"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i/>
                <w:sz w:val="20"/>
                <w:szCs w:val="20"/>
              </w:rPr>
              <w:t>Alfa</w:t>
            </w:r>
            <w:r w:rsidRPr="00391F08">
              <w:rPr>
                <w:rFonts w:ascii="Garamond" w:hAnsi="Garamond" w:cs="Arial"/>
                <w:sz w:val="20"/>
                <w:szCs w:val="20"/>
              </w:rPr>
              <w:t xml:space="preserve"> de </w:t>
            </w:r>
            <w:proofErr w:type="spellStart"/>
            <w:r w:rsidRPr="00391F08">
              <w:rPr>
                <w:rFonts w:ascii="Garamond" w:hAnsi="Garamond" w:cs="Arial"/>
                <w:sz w:val="20"/>
                <w:szCs w:val="20"/>
              </w:rPr>
              <w:t>Cronbach</w:t>
            </w:r>
            <w:proofErr w:type="spellEnd"/>
          </w:p>
        </w:tc>
        <w:tc>
          <w:tcPr>
            <w:tcW w:w="0" w:type="auto"/>
            <w:vAlign w:val="center"/>
          </w:tcPr>
          <w:p w14:paraId="09697ED9" w14:textId="77777777" w:rsidR="00222CAA" w:rsidRPr="00391F08" w:rsidRDefault="00222CAA" w:rsidP="0096187D">
            <w:pPr>
              <w:spacing w:after="0"/>
              <w:jc w:val="center"/>
              <w:rPr>
                <w:rFonts w:ascii="Garamond" w:hAnsi="Garamond" w:cs="Arial"/>
                <w:sz w:val="20"/>
                <w:szCs w:val="20"/>
              </w:rPr>
            </w:pPr>
            <w:proofErr w:type="spellStart"/>
            <w:r w:rsidRPr="00391F08">
              <w:rPr>
                <w:rFonts w:ascii="Garamond" w:hAnsi="Garamond" w:cs="Arial"/>
                <w:sz w:val="20"/>
                <w:szCs w:val="20"/>
              </w:rPr>
              <w:t>Rho_A</w:t>
            </w:r>
            <w:proofErr w:type="spellEnd"/>
          </w:p>
        </w:tc>
        <w:tc>
          <w:tcPr>
            <w:tcW w:w="0" w:type="auto"/>
            <w:tcBorders>
              <w:right w:val="nil"/>
            </w:tcBorders>
            <w:vAlign w:val="center"/>
          </w:tcPr>
          <w:p w14:paraId="2F340055"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CC</w:t>
            </w:r>
          </w:p>
        </w:tc>
      </w:tr>
      <w:tr w:rsidR="00222CAA" w:rsidRPr="00391F08" w14:paraId="2DB3B926" w14:textId="77777777" w:rsidTr="0096187D">
        <w:tc>
          <w:tcPr>
            <w:tcW w:w="0" w:type="auto"/>
            <w:vMerge w:val="restart"/>
            <w:tcBorders>
              <w:left w:val="nil"/>
            </w:tcBorders>
            <w:textDirection w:val="btLr"/>
            <w:vAlign w:val="center"/>
          </w:tcPr>
          <w:p w14:paraId="31C5B6F3" w14:textId="77777777" w:rsidR="00222CAA" w:rsidRPr="00391F08" w:rsidRDefault="00222CAA" w:rsidP="0096187D">
            <w:pPr>
              <w:spacing w:after="0"/>
              <w:ind w:left="113" w:right="113"/>
              <w:jc w:val="center"/>
              <w:rPr>
                <w:rFonts w:ascii="Garamond" w:hAnsi="Garamond" w:cs="Arial"/>
                <w:sz w:val="20"/>
                <w:szCs w:val="20"/>
              </w:rPr>
            </w:pPr>
            <w:r w:rsidRPr="00391F08">
              <w:rPr>
                <w:rFonts w:ascii="Garamond" w:hAnsi="Garamond" w:cs="Arial"/>
                <w:sz w:val="20"/>
                <w:szCs w:val="20"/>
              </w:rPr>
              <w:t>Perceber um chamado</w:t>
            </w:r>
          </w:p>
        </w:tc>
        <w:tc>
          <w:tcPr>
            <w:tcW w:w="0" w:type="auto"/>
            <w:vAlign w:val="center"/>
          </w:tcPr>
          <w:p w14:paraId="0908609F"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PC1</w:t>
            </w:r>
          </w:p>
        </w:tc>
        <w:tc>
          <w:tcPr>
            <w:tcW w:w="0" w:type="auto"/>
          </w:tcPr>
          <w:p w14:paraId="216F6D29"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Eu tenho um chamado para um tipo específico de trabalho.</w:t>
            </w:r>
          </w:p>
        </w:tc>
        <w:tc>
          <w:tcPr>
            <w:tcW w:w="0" w:type="auto"/>
            <w:vAlign w:val="center"/>
          </w:tcPr>
          <w:p w14:paraId="4ABB769D"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0,891</w:t>
            </w:r>
          </w:p>
        </w:tc>
        <w:tc>
          <w:tcPr>
            <w:tcW w:w="0" w:type="auto"/>
            <w:vMerge w:val="restart"/>
            <w:vAlign w:val="center"/>
          </w:tcPr>
          <w:p w14:paraId="14C25222"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0,845</w:t>
            </w:r>
          </w:p>
        </w:tc>
        <w:tc>
          <w:tcPr>
            <w:tcW w:w="0" w:type="auto"/>
            <w:vMerge w:val="restart"/>
            <w:vAlign w:val="center"/>
          </w:tcPr>
          <w:p w14:paraId="7DD5A7CF"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0,822</w:t>
            </w:r>
          </w:p>
        </w:tc>
        <w:tc>
          <w:tcPr>
            <w:tcW w:w="0" w:type="auto"/>
            <w:vMerge w:val="restart"/>
            <w:vAlign w:val="center"/>
          </w:tcPr>
          <w:p w14:paraId="089398A7"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0,893</w:t>
            </w:r>
          </w:p>
        </w:tc>
        <w:tc>
          <w:tcPr>
            <w:tcW w:w="0" w:type="auto"/>
            <w:vMerge w:val="restart"/>
            <w:tcBorders>
              <w:right w:val="nil"/>
            </w:tcBorders>
            <w:vAlign w:val="center"/>
          </w:tcPr>
          <w:p w14:paraId="2153FA3D"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0,916</w:t>
            </w:r>
          </w:p>
        </w:tc>
      </w:tr>
      <w:tr w:rsidR="00222CAA" w:rsidRPr="00391F08" w14:paraId="798C47AC" w14:textId="77777777" w:rsidTr="0096187D">
        <w:tc>
          <w:tcPr>
            <w:tcW w:w="0" w:type="auto"/>
            <w:vMerge/>
            <w:tcBorders>
              <w:left w:val="nil"/>
            </w:tcBorders>
            <w:textDirection w:val="btLr"/>
            <w:vAlign w:val="center"/>
          </w:tcPr>
          <w:p w14:paraId="62D2A91D"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46AEB439"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PC2</w:t>
            </w:r>
          </w:p>
        </w:tc>
        <w:tc>
          <w:tcPr>
            <w:tcW w:w="0" w:type="auto"/>
          </w:tcPr>
          <w:p w14:paraId="3744BDC2"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Compreendo bem meu chamado no que se refere à minha carreira.</w:t>
            </w:r>
          </w:p>
        </w:tc>
        <w:tc>
          <w:tcPr>
            <w:tcW w:w="0" w:type="auto"/>
            <w:vAlign w:val="center"/>
          </w:tcPr>
          <w:p w14:paraId="63308727"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0,947</w:t>
            </w:r>
          </w:p>
        </w:tc>
        <w:tc>
          <w:tcPr>
            <w:tcW w:w="0" w:type="auto"/>
            <w:vMerge/>
          </w:tcPr>
          <w:p w14:paraId="57BDCE8A" w14:textId="77777777" w:rsidR="00222CAA" w:rsidRPr="00391F08" w:rsidRDefault="00222CAA" w:rsidP="0096187D">
            <w:pPr>
              <w:spacing w:after="0"/>
              <w:rPr>
                <w:rFonts w:ascii="Garamond" w:hAnsi="Garamond" w:cs="Arial"/>
                <w:sz w:val="20"/>
                <w:szCs w:val="20"/>
              </w:rPr>
            </w:pPr>
          </w:p>
        </w:tc>
        <w:tc>
          <w:tcPr>
            <w:tcW w:w="0" w:type="auto"/>
            <w:vMerge/>
          </w:tcPr>
          <w:p w14:paraId="27A96923" w14:textId="77777777" w:rsidR="00222CAA" w:rsidRPr="00391F08" w:rsidRDefault="00222CAA" w:rsidP="0096187D">
            <w:pPr>
              <w:spacing w:after="0"/>
              <w:rPr>
                <w:rFonts w:ascii="Garamond" w:hAnsi="Garamond" w:cs="Arial"/>
                <w:sz w:val="20"/>
                <w:szCs w:val="20"/>
              </w:rPr>
            </w:pPr>
          </w:p>
        </w:tc>
        <w:tc>
          <w:tcPr>
            <w:tcW w:w="0" w:type="auto"/>
            <w:vMerge/>
          </w:tcPr>
          <w:p w14:paraId="293337DC"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2CF2CC17" w14:textId="77777777" w:rsidR="00222CAA" w:rsidRPr="00391F08" w:rsidRDefault="00222CAA" w:rsidP="0096187D">
            <w:pPr>
              <w:spacing w:after="0"/>
              <w:rPr>
                <w:rFonts w:ascii="Garamond" w:hAnsi="Garamond" w:cs="Arial"/>
                <w:sz w:val="20"/>
                <w:szCs w:val="20"/>
              </w:rPr>
            </w:pPr>
          </w:p>
        </w:tc>
      </w:tr>
      <w:tr w:rsidR="00222CAA" w:rsidRPr="00391F08" w14:paraId="5C95FE81" w14:textId="77777777" w:rsidTr="0096187D">
        <w:tc>
          <w:tcPr>
            <w:tcW w:w="0" w:type="auto"/>
            <w:vMerge/>
            <w:tcBorders>
              <w:left w:val="nil"/>
            </w:tcBorders>
            <w:textDirection w:val="btLr"/>
            <w:vAlign w:val="center"/>
          </w:tcPr>
          <w:p w14:paraId="15A68FF7"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31EDC196"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PC3</w:t>
            </w:r>
          </w:p>
        </w:tc>
        <w:tc>
          <w:tcPr>
            <w:tcW w:w="0" w:type="auto"/>
          </w:tcPr>
          <w:p w14:paraId="09285C94"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 xml:space="preserve">Estou tentando descobrir meu chamado em minha carreira. </w:t>
            </w:r>
          </w:p>
        </w:tc>
        <w:tc>
          <w:tcPr>
            <w:tcW w:w="0" w:type="auto"/>
            <w:vAlign w:val="center"/>
          </w:tcPr>
          <w:p w14:paraId="6C745F5F"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Excluída</w:t>
            </w:r>
          </w:p>
        </w:tc>
        <w:tc>
          <w:tcPr>
            <w:tcW w:w="0" w:type="auto"/>
            <w:vMerge/>
          </w:tcPr>
          <w:p w14:paraId="477BB5E6" w14:textId="77777777" w:rsidR="00222CAA" w:rsidRPr="00391F08" w:rsidRDefault="00222CAA" w:rsidP="0096187D">
            <w:pPr>
              <w:spacing w:after="0"/>
              <w:rPr>
                <w:rFonts w:ascii="Garamond" w:hAnsi="Garamond" w:cs="Arial"/>
                <w:sz w:val="20"/>
                <w:szCs w:val="20"/>
              </w:rPr>
            </w:pPr>
          </w:p>
        </w:tc>
        <w:tc>
          <w:tcPr>
            <w:tcW w:w="0" w:type="auto"/>
            <w:vMerge/>
          </w:tcPr>
          <w:p w14:paraId="6FFE1217" w14:textId="77777777" w:rsidR="00222CAA" w:rsidRPr="00391F08" w:rsidRDefault="00222CAA" w:rsidP="0096187D">
            <w:pPr>
              <w:spacing w:after="0"/>
              <w:rPr>
                <w:rFonts w:ascii="Garamond" w:hAnsi="Garamond" w:cs="Arial"/>
                <w:sz w:val="20"/>
                <w:szCs w:val="20"/>
              </w:rPr>
            </w:pPr>
          </w:p>
        </w:tc>
        <w:tc>
          <w:tcPr>
            <w:tcW w:w="0" w:type="auto"/>
            <w:vMerge/>
          </w:tcPr>
          <w:p w14:paraId="0108FEE2"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5126E7C3" w14:textId="77777777" w:rsidR="00222CAA" w:rsidRPr="00391F08" w:rsidRDefault="00222CAA" w:rsidP="0096187D">
            <w:pPr>
              <w:spacing w:after="0"/>
              <w:rPr>
                <w:rFonts w:ascii="Garamond" w:hAnsi="Garamond" w:cs="Arial"/>
                <w:sz w:val="20"/>
                <w:szCs w:val="20"/>
              </w:rPr>
            </w:pPr>
          </w:p>
        </w:tc>
      </w:tr>
      <w:tr w:rsidR="00222CAA" w:rsidRPr="00391F08" w14:paraId="135FF619" w14:textId="77777777" w:rsidTr="0096187D">
        <w:tc>
          <w:tcPr>
            <w:tcW w:w="0" w:type="auto"/>
            <w:vMerge/>
            <w:tcBorders>
              <w:left w:val="nil"/>
            </w:tcBorders>
            <w:textDirection w:val="btLr"/>
            <w:vAlign w:val="center"/>
          </w:tcPr>
          <w:p w14:paraId="015177EE"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2D728981"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PC4</w:t>
            </w:r>
          </w:p>
        </w:tc>
        <w:tc>
          <w:tcPr>
            <w:tcW w:w="0" w:type="auto"/>
          </w:tcPr>
          <w:p w14:paraId="1E11DB81"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Estou procurando meu chamado, no que se refere à minha carreira.</w:t>
            </w:r>
          </w:p>
        </w:tc>
        <w:tc>
          <w:tcPr>
            <w:tcW w:w="0" w:type="auto"/>
            <w:vAlign w:val="center"/>
          </w:tcPr>
          <w:p w14:paraId="2E1EA756"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Excluída</w:t>
            </w:r>
          </w:p>
        </w:tc>
        <w:tc>
          <w:tcPr>
            <w:tcW w:w="0" w:type="auto"/>
            <w:vMerge/>
          </w:tcPr>
          <w:p w14:paraId="69066AAA" w14:textId="77777777" w:rsidR="00222CAA" w:rsidRPr="00391F08" w:rsidRDefault="00222CAA" w:rsidP="0096187D">
            <w:pPr>
              <w:spacing w:after="0"/>
              <w:rPr>
                <w:rFonts w:ascii="Garamond" w:hAnsi="Garamond" w:cs="Arial"/>
                <w:sz w:val="20"/>
                <w:szCs w:val="20"/>
              </w:rPr>
            </w:pPr>
          </w:p>
        </w:tc>
        <w:tc>
          <w:tcPr>
            <w:tcW w:w="0" w:type="auto"/>
            <w:vMerge/>
          </w:tcPr>
          <w:p w14:paraId="3636EAD7" w14:textId="77777777" w:rsidR="00222CAA" w:rsidRPr="00391F08" w:rsidRDefault="00222CAA" w:rsidP="0096187D">
            <w:pPr>
              <w:spacing w:after="0"/>
              <w:rPr>
                <w:rFonts w:ascii="Garamond" w:hAnsi="Garamond" w:cs="Arial"/>
                <w:sz w:val="20"/>
                <w:szCs w:val="20"/>
              </w:rPr>
            </w:pPr>
          </w:p>
        </w:tc>
        <w:tc>
          <w:tcPr>
            <w:tcW w:w="0" w:type="auto"/>
            <w:vMerge/>
          </w:tcPr>
          <w:p w14:paraId="73DC0BA0"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5BB6EAF1" w14:textId="77777777" w:rsidR="00222CAA" w:rsidRPr="00391F08" w:rsidRDefault="00222CAA" w:rsidP="0096187D">
            <w:pPr>
              <w:spacing w:after="0"/>
              <w:rPr>
                <w:rFonts w:ascii="Garamond" w:hAnsi="Garamond" w:cs="Arial"/>
                <w:sz w:val="20"/>
                <w:szCs w:val="20"/>
              </w:rPr>
            </w:pPr>
          </w:p>
        </w:tc>
      </w:tr>
      <w:tr w:rsidR="00222CAA" w:rsidRPr="00391F08" w14:paraId="7C935595" w14:textId="77777777" w:rsidTr="0096187D">
        <w:tc>
          <w:tcPr>
            <w:tcW w:w="0" w:type="auto"/>
            <w:vMerge w:val="restart"/>
            <w:tcBorders>
              <w:left w:val="nil"/>
            </w:tcBorders>
            <w:textDirection w:val="btLr"/>
            <w:vAlign w:val="center"/>
          </w:tcPr>
          <w:p w14:paraId="6370C8B0" w14:textId="77777777" w:rsidR="00222CAA" w:rsidRPr="00391F08" w:rsidRDefault="00222CAA" w:rsidP="0096187D">
            <w:pPr>
              <w:spacing w:after="0"/>
              <w:ind w:left="113" w:right="113"/>
              <w:jc w:val="center"/>
              <w:rPr>
                <w:rFonts w:ascii="Garamond" w:hAnsi="Garamond" w:cs="Arial"/>
                <w:sz w:val="20"/>
                <w:szCs w:val="20"/>
              </w:rPr>
            </w:pPr>
            <w:r w:rsidRPr="00391F08">
              <w:rPr>
                <w:rFonts w:ascii="Garamond" w:hAnsi="Garamond" w:cs="Arial"/>
                <w:sz w:val="20"/>
                <w:szCs w:val="20"/>
              </w:rPr>
              <w:t>Viver um chamado</w:t>
            </w:r>
          </w:p>
        </w:tc>
        <w:tc>
          <w:tcPr>
            <w:tcW w:w="0" w:type="auto"/>
            <w:vAlign w:val="center"/>
          </w:tcPr>
          <w:p w14:paraId="78CFFD32"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VC1</w:t>
            </w:r>
          </w:p>
        </w:tc>
        <w:tc>
          <w:tcPr>
            <w:tcW w:w="0" w:type="auto"/>
          </w:tcPr>
          <w:p w14:paraId="5E3171A1"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Tenho oportunidades regulares de cumprir meu chamado.</w:t>
            </w:r>
          </w:p>
        </w:tc>
        <w:tc>
          <w:tcPr>
            <w:tcW w:w="0" w:type="auto"/>
            <w:vAlign w:val="center"/>
          </w:tcPr>
          <w:p w14:paraId="29E1211B"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0,718</w:t>
            </w:r>
          </w:p>
        </w:tc>
        <w:tc>
          <w:tcPr>
            <w:tcW w:w="0" w:type="auto"/>
            <w:vMerge w:val="restart"/>
            <w:vAlign w:val="center"/>
          </w:tcPr>
          <w:p w14:paraId="3CBFC6B3"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0,780</w:t>
            </w:r>
          </w:p>
        </w:tc>
        <w:tc>
          <w:tcPr>
            <w:tcW w:w="0" w:type="auto"/>
            <w:vMerge w:val="restart"/>
            <w:vAlign w:val="center"/>
          </w:tcPr>
          <w:p w14:paraId="24369C38"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0,942</w:t>
            </w:r>
          </w:p>
        </w:tc>
        <w:tc>
          <w:tcPr>
            <w:tcW w:w="0" w:type="auto"/>
            <w:vMerge w:val="restart"/>
            <w:vAlign w:val="center"/>
          </w:tcPr>
          <w:p w14:paraId="5E13C5FE"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0,950</w:t>
            </w:r>
          </w:p>
        </w:tc>
        <w:tc>
          <w:tcPr>
            <w:tcW w:w="0" w:type="auto"/>
            <w:vMerge w:val="restart"/>
            <w:tcBorders>
              <w:right w:val="nil"/>
            </w:tcBorders>
            <w:vAlign w:val="center"/>
          </w:tcPr>
          <w:p w14:paraId="379F7D36"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0,955</w:t>
            </w:r>
          </w:p>
        </w:tc>
      </w:tr>
      <w:tr w:rsidR="00222CAA" w:rsidRPr="00391F08" w14:paraId="77CEB9D3" w14:textId="77777777" w:rsidTr="0096187D">
        <w:tc>
          <w:tcPr>
            <w:tcW w:w="0" w:type="auto"/>
            <w:vMerge/>
            <w:tcBorders>
              <w:left w:val="nil"/>
            </w:tcBorders>
            <w:textDirection w:val="btLr"/>
            <w:vAlign w:val="center"/>
          </w:tcPr>
          <w:p w14:paraId="3B473495"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35B910EB"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VC2</w:t>
            </w:r>
          </w:p>
        </w:tc>
        <w:tc>
          <w:tcPr>
            <w:tcW w:w="0" w:type="auto"/>
          </w:tcPr>
          <w:p w14:paraId="17CAEA94"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Atualmente, meu trabalho se alinha bastante com meu chamado.</w:t>
            </w:r>
          </w:p>
        </w:tc>
        <w:tc>
          <w:tcPr>
            <w:tcW w:w="0" w:type="auto"/>
            <w:vAlign w:val="center"/>
          </w:tcPr>
          <w:p w14:paraId="5E95F61F"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0,924</w:t>
            </w:r>
          </w:p>
        </w:tc>
        <w:tc>
          <w:tcPr>
            <w:tcW w:w="0" w:type="auto"/>
            <w:vMerge/>
          </w:tcPr>
          <w:p w14:paraId="3A0FF29B" w14:textId="77777777" w:rsidR="00222CAA" w:rsidRPr="00391F08" w:rsidRDefault="00222CAA" w:rsidP="0096187D">
            <w:pPr>
              <w:spacing w:after="0"/>
              <w:rPr>
                <w:rFonts w:ascii="Garamond" w:hAnsi="Garamond" w:cs="Arial"/>
                <w:sz w:val="20"/>
                <w:szCs w:val="20"/>
              </w:rPr>
            </w:pPr>
          </w:p>
        </w:tc>
        <w:tc>
          <w:tcPr>
            <w:tcW w:w="0" w:type="auto"/>
            <w:vMerge/>
          </w:tcPr>
          <w:p w14:paraId="10DAFB01" w14:textId="77777777" w:rsidR="00222CAA" w:rsidRPr="00391F08" w:rsidRDefault="00222CAA" w:rsidP="0096187D">
            <w:pPr>
              <w:spacing w:after="0"/>
              <w:rPr>
                <w:rFonts w:ascii="Garamond" w:hAnsi="Garamond" w:cs="Arial"/>
                <w:sz w:val="20"/>
                <w:szCs w:val="20"/>
              </w:rPr>
            </w:pPr>
          </w:p>
        </w:tc>
        <w:tc>
          <w:tcPr>
            <w:tcW w:w="0" w:type="auto"/>
            <w:vMerge/>
          </w:tcPr>
          <w:p w14:paraId="3BDC0EE9"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0434C74E" w14:textId="77777777" w:rsidR="00222CAA" w:rsidRPr="00391F08" w:rsidRDefault="00222CAA" w:rsidP="0096187D">
            <w:pPr>
              <w:spacing w:after="0"/>
              <w:rPr>
                <w:rFonts w:ascii="Garamond" w:hAnsi="Garamond" w:cs="Arial"/>
                <w:sz w:val="20"/>
                <w:szCs w:val="20"/>
              </w:rPr>
            </w:pPr>
          </w:p>
        </w:tc>
      </w:tr>
      <w:tr w:rsidR="00222CAA" w:rsidRPr="00391F08" w14:paraId="370B470C" w14:textId="77777777" w:rsidTr="0096187D">
        <w:tc>
          <w:tcPr>
            <w:tcW w:w="0" w:type="auto"/>
            <w:vMerge/>
            <w:tcBorders>
              <w:left w:val="nil"/>
            </w:tcBorders>
            <w:textDirection w:val="btLr"/>
            <w:vAlign w:val="center"/>
          </w:tcPr>
          <w:p w14:paraId="50BBC039"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4DCA2C30"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VC3</w:t>
            </w:r>
          </w:p>
        </w:tc>
        <w:tc>
          <w:tcPr>
            <w:tcW w:w="0" w:type="auto"/>
          </w:tcPr>
          <w:p w14:paraId="600E1357"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Estou consistentemente cumprindo meu chamado.</w:t>
            </w:r>
          </w:p>
        </w:tc>
        <w:tc>
          <w:tcPr>
            <w:tcW w:w="0" w:type="auto"/>
            <w:vAlign w:val="center"/>
          </w:tcPr>
          <w:p w14:paraId="1708CBA5"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0,919</w:t>
            </w:r>
          </w:p>
        </w:tc>
        <w:tc>
          <w:tcPr>
            <w:tcW w:w="0" w:type="auto"/>
            <w:vMerge/>
          </w:tcPr>
          <w:p w14:paraId="47794704" w14:textId="77777777" w:rsidR="00222CAA" w:rsidRPr="00391F08" w:rsidRDefault="00222CAA" w:rsidP="0096187D">
            <w:pPr>
              <w:spacing w:after="0"/>
              <w:rPr>
                <w:rFonts w:ascii="Garamond" w:hAnsi="Garamond" w:cs="Arial"/>
                <w:sz w:val="20"/>
                <w:szCs w:val="20"/>
              </w:rPr>
            </w:pPr>
          </w:p>
        </w:tc>
        <w:tc>
          <w:tcPr>
            <w:tcW w:w="0" w:type="auto"/>
            <w:vMerge/>
          </w:tcPr>
          <w:p w14:paraId="12A648A3" w14:textId="77777777" w:rsidR="00222CAA" w:rsidRPr="00391F08" w:rsidRDefault="00222CAA" w:rsidP="0096187D">
            <w:pPr>
              <w:spacing w:after="0"/>
              <w:rPr>
                <w:rFonts w:ascii="Garamond" w:hAnsi="Garamond" w:cs="Arial"/>
                <w:sz w:val="20"/>
                <w:szCs w:val="20"/>
              </w:rPr>
            </w:pPr>
          </w:p>
        </w:tc>
        <w:tc>
          <w:tcPr>
            <w:tcW w:w="0" w:type="auto"/>
            <w:vMerge/>
          </w:tcPr>
          <w:p w14:paraId="103D4313"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1942E9AD" w14:textId="77777777" w:rsidR="00222CAA" w:rsidRPr="00391F08" w:rsidRDefault="00222CAA" w:rsidP="0096187D">
            <w:pPr>
              <w:spacing w:after="0"/>
              <w:rPr>
                <w:rFonts w:ascii="Garamond" w:hAnsi="Garamond" w:cs="Arial"/>
                <w:sz w:val="20"/>
                <w:szCs w:val="20"/>
              </w:rPr>
            </w:pPr>
          </w:p>
        </w:tc>
      </w:tr>
      <w:tr w:rsidR="00222CAA" w:rsidRPr="00391F08" w14:paraId="6C5BB502" w14:textId="77777777" w:rsidTr="0096187D">
        <w:tc>
          <w:tcPr>
            <w:tcW w:w="0" w:type="auto"/>
            <w:vMerge/>
            <w:tcBorders>
              <w:left w:val="nil"/>
            </w:tcBorders>
            <w:textDirection w:val="btLr"/>
            <w:vAlign w:val="center"/>
          </w:tcPr>
          <w:p w14:paraId="46B16FD9"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201CC588"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VC4</w:t>
            </w:r>
          </w:p>
        </w:tc>
        <w:tc>
          <w:tcPr>
            <w:tcW w:w="0" w:type="auto"/>
          </w:tcPr>
          <w:p w14:paraId="0AD2A2E3"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Atualmente, estou envolvido em atividades alinhadas com meu chamado.</w:t>
            </w:r>
          </w:p>
        </w:tc>
        <w:tc>
          <w:tcPr>
            <w:tcW w:w="0" w:type="auto"/>
            <w:vAlign w:val="center"/>
          </w:tcPr>
          <w:p w14:paraId="4DBFA5F2"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0,887</w:t>
            </w:r>
          </w:p>
        </w:tc>
        <w:tc>
          <w:tcPr>
            <w:tcW w:w="0" w:type="auto"/>
            <w:vMerge/>
          </w:tcPr>
          <w:p w14:paraId="4C4E19B1" w14:textId="77777777" w:rsidR="00222CAA" w:rsidRPr="00391F08" w:rsidRDefault="00222CAA" w:rsidP="0096187D">
            <w:pPr>
              <w:spacing w:after="0"/>
              <w:rPr>
                <w:rFonts w:ascii="Garamond" w:hAnsi="Garamond" w:cs="Arial"/>
                <w:sz w:val="20"/>
                <w:szCs w:val="20"/>
              </w:rPr>
            </w:pPr>
          </w:p>
        </w:tc>
        <w:tc>
          <w:tcPr>
            <w:tcW w:w="0" w:type="auto"/>
            <w:vMerge/>
          </w:tcPr>
          <w:p w14:paraId="6B3C80E7" w14:textId="77777777" w:rsidR="00222CAA" w:rsidRPr="00391F08" w:rsidRDefault="00222CAA" w:rsidP="0096187D">
            <w:pPr>
              <w:spacing w:after="0"/>
              <w:rPr>
                <w:rFonts w:ascii="Garamond" w:hAnsi="Garamond" w:cs="Arial"/>
                <w:sz w:val="20"/>
                <w:szCs w:val="20"/>
              </w:rPr>
            </w:pPr>
          </w:p>
        </w:tc>
        <w:tc>
          <w:tcPr>
            <w:tcW w:w="0" w:type="auto"/>
            <w:vMerge/>
          </w:tcPr>
          <w:p w14:paraId="0B2A0373"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65D30B0C" w14:textId="77777777" w:rsidR="00222CAA" w:rsidRPr="00391F08" w:rsidRDefault="00222CAA" w:rsidP="0096187D">
            <w:pPr>
              <w:spacing w:after="0"/>
              <w:rPr>
                <w:rFonts w:ascii="Garamond" w:hAnsi="Garamond" w:cs="Arial"/>
                <w:sz w:val="20"/>
                <w:szCs w:val="20"/>
              </w:rPr>
            </w:pPr>
          </w:p>
        </w:tc>
      </w:tr>
      <w:tr w:rsidR="00222CAA" w:rsidRPr="00391F08" w14:paraId="349E7BE4" w14:textId="77777777" w:rsidTr="0096187D">
        <w:tc>
          <w:tcPr>
            <w:tcW w:w="0" w:type="auto"/>
            <w:vMerge/>
            <w:tcBorders>
              <w:left w:val="nil"/>
            </w:tcBorders>
            <w:textDirection w:val="btLr"/>
            <w:vAlign w:val="center"/>
          </w:tcPr>
          <w:p w14:paraId="153BEBEA"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36D62FEC"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VC5</w:t>
            </w:r>
          </w:p>
        </w:tc>
        <w:tc>
          <w:tcPr>
            <w:tcW w:w="0" w:type="auto"/>
          </w:tcPr>
          <w:p w14:paraId="51F94840"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Estou vivendo meu chamado agora no meu trabalho.</w:t>
            </w:r>
          </w:p>
        </w:tc>
        <w:tc>
          <w:tcPr>
            <w:tcW w:w="0" w:type="auto"/>
            <w:vAlign w:val="center"/>
          </w:tcPr>
          <w:p w14:paraId="63559F15"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0,920</w:t>
            </w:r>
          </w:p>
        </w:tc>
        <w:tc>
          <w:tcPr>
            <w:tcW w:w="0" w:type="auto"/>
            <w:vMerge/>
          </w:tcPr>
          <w:p w14:paraId="66C4CEAE" w14:textId="77777777" w:rsidR="00222CAA" w:rsidRPr="00391F08" w:rsidRDefault="00222CAA" w:rsidP="0096187D">
            <w:pPr>
              <w:spacing w:after="0"/>
              <w:rPr>
                <w:rFonts w:ascii="Garamond" w:hAnsi="Garamond" w:cs="Arial"/>
                <w:sz w:val="20"/>
                <w:szCs w:val="20"/>
              </w:rPr>
            </w:pPr>
          </w:p>
        </w:tc>
        <w:tc>
          <w:tcPr>
            <w:tcW w:w="0" w:type="auto"/>
            <w:vMerge/>
          </w:tcPr>
          <w:p w14:paraId="2739D230" w14:textId="77777777" w:rsidR="00222CAA" w:rsidRPr="00391F08" w:rsidRDefault="00222CAA" w:rsidP="0096187D">
            <w:pPr>
              <w:spacing w:after="0"/>
              <w:rPr>
                <w:rFonts w:ascii="Garamond" w:hAnsi="Garamond" w:cs="Arial"/>
                <w:sz w:val="20"/>
                <w:szCs w:val="20"/>
              </w:rPr>
            </w:pPr>
          </w:p>
        </w:tc>
        <w:tc>
          <w:tcPr>
            <w:tcW w:w="0" w:type="auto"/>
            <w:vMerge/>
          </w:tcPr>
          <w:p w14:paraId="70414145"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1271D8FF" w14:textId="77777777" w:rsidR="00222CAA" w:rsidRPr="00391F08" w:rsidRDefault="00222CAA" w:rsidP="0096187D">
            <w:pPr>
              <w:spacing w:after="0"/>
              <w:rPr>
                <w:rFonts w:ascii="Garamond" w:hAnsi="Garamond" w:cs="Arial"/>
                <w:sz w:val="20"/>
                <w:szCs w:val="20"/>
              </w:rPr>
            </w:pPr>
          </w:p>
        </w:tc>
      </w:tr>
      <w:tr w:rsidR="00222CAA" w:rsidRPr="00391F08" w14:paraId="5B0F3860" w14:textId="77777777" w:rsidTr="0096187D">
        <w:tc>
          <w:tcPr>
            <w:tcW w:w="0" w:type="auto"/>
            <w:vMerge/>
            <w:tcBorders>
              <w:left w:val="nil"/>
            </w:tcBorders>
            <w:textDirection w:val="btLr"/>
            <w:vAlign w:val="center"/>
          </w:tcPr>
          <w:p w14:paraId="3F0397B8"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07E04909"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VC6</w:t>
            </w:r>
          </w:p>
        </w:tc>
        <w:tc>
          <w:tcPr>
            <w:tcW w:w="0" w:type="auto"/>
          </w:tcPr>
          <w:p w14:paraId="425E93EB"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Estou no trabalho para o qual me sinto chamado.</w:t>
            </w:r>
          </w:p>
        </w:tc>
        <w:tc>
          <w:tcPr>
            <w:tcW w:w="0" w:type="auto"/>
            <w:vAlign w:val="center"/>
          </w:tcPr>
          <w:p w14:paraId="415D7A4F"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0,913</w:t>
            </w:r>
          </w:p>
        </w:tc>
        <w:tc>
          <w:tcPr>
            <w:tcW w:w="0" w:type="auto"/>
            <w:vMerge/>
          </w:tcPr>
          <w:p w14:paraId="3A29FDAB" w14:textId="77777777" w:rsidR="00222CAA" w:rsidRPr="00391F08" w:rsidRDefault="00222CAA" w:rsidP="0096187D">
            <w:pPr>
              <w:spacing w:after="0"/>
              <w:rPr>
                <w:rFonts w:ascii="Garamond" w:hAnsi="Garamond" w:cs="Arial"/>
                <w:sz w:val="20"/>
                <w:szCs w:val="20"/>
              </w:rPr>
            </w:pPr>
          </w:p>
        </w:tc>
        <w:tc>
          <w:tcPr>
            <w:tcW w:w="0" w:type="auto"/>
            <w:vMerge/>
          </w:tcPr>
          <w:p w14:paraId="77F56235" w14:textId="77777777" w:rsidR="00222CAA" w:rsidRPr="00391F08" w:rsidRDefault="00222CAA" w:rsidP="0096187D">
            <w:pPr>
              <w:spacing w:after="0"/>
              <w:rPr>
                <w:rFonts w:ascii="Garamond" w:hAnsi="Garamond" w:cs="Arial"/>
                <w:sz w:val="20"/>
                <w:szCs w:val="20"/>
              </w:rPr>
            </w:pPr>
          </w:p>
        </w:tc>
        <w:tc>
          <w:tcPr>
            <w:tcW w:w="0" w:type="auto"/>
            <w:vMerge/>
          </w:tcPr>
          <w:p w14:paraId="1BC58A56"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0458BB1F" w14:textId="77777777" w:rsidR="00222CAA" w:rsidRPr="00391F08" w:rsidRDefault="00222CAA" w:rsidP="0096187D">
            <w:pPr>
              <w:spacing w:after="0"/>
              <w:rPr>
                <w:rFonts w:ascii="Garamond" w:hAnsi="Garamond" w:cs="Arial"/>
                <w:sz w:val="20"/>
                <w:szCs w:val="20"/>
              </w:rPr>
            </w:pPr>
          </w:p>
        </w:tc>
      </w:tr>
      <w:tr w:rsidR="00222CAA" w:rsidRPr="00391F08" w14:paraId="7808D680" w14:textId="77777777" w:rsidTr="0096187D">
        <w:tc>
          <w:tcPr>
            <w:tcW w:w="0" w:type="auto"/>
            <w:vMerge w:val="restart"/>
            <w:tcBorders>
              <w:left w:val="nil"/>
            </w:tcBorders>
            <w:textDirection w:val="btLr"/>
            <w:vAlign w:val="center"/>
          </w:tcPr>
          <w:p w14:paraId="71F2A9D7" w14:textId="77777777" w:rsidR="00222CAA" w:rsidRPr="00391F08" w:rsidRDefault="00222CAA" w:rsidP="0096187D">
            <w:pPr>
              <w:spacing w:after="0"/>
              <w:ind w:left="113" w:right="113"/>
              <w:jc w:val="center"/>
              <w:rPr>
                <w:rFonts w:ascii="Garamond" w:hAnsi="Garamond" w:cs="Arial"/>
                <w:sz w:val="20"/>
                <w:szCs w:val="20"/>
              </w:rPr>
            </w:pPr>
            <w:r w:rsidRPr="00391F08">
              <w:rPr>
                <w:rFonts w:ascii="Garamond" w:hAnsi="Garamond" w:cs="Arial"/>
                <w:sz w:val="20"/>
                <w:szCs w:val="20"/>
              </w:rPr>
              <w:t>Significado da vida</w:t>
            </w:r>
          </w:p>
        </w:tc>
        <w:tc>
          <w:tcPr>
            <w:tcW w:w="0" w:type="auto"/>
            <w:vAlign w:val="center"/>
          </w:tcPr>
          <w:p w14:paraId="056A9DB0"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SIV1</w:t>
            </w:r>
          </w:p>
        </w:tc>
        <w:tc>
          <w:tcPr>
            <w:tcW w:w="0" w:type="auto"/>
          </w:tcPr>
          <w:p w14:paraId="663010B9"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 xml:space="preserve">Eu entendo o significado da minha vida. </w:t>
            </w:r>
          </w:p>
        </w:tc>
        <w:tc>
          <w:tcPr>
            <w:tcW w:w="0" w:type="auto"/>
            <w:vAlign w:val="center"/>
          </w:tcPr>
          <w:p w14:paraId="5CFE745A" w14:textId="77777777" w:rsidR="00222CAA" w:rsidRPr="00391F08" w:rsidRDefault="00222CAA" w:rsidP="0096187D">
            <w:pPr>
              <w:jc w:val="center"/>
              <w:rPr>
                <w:rFonts w:ascii="Garamond" w:hAnsi="Garamond" w:cs="Arial"/>
                <w:bCs/>
                <w:sz w:val="20"/>
                <w:szCs w:val="20"/>
              </w:rPr>
            </w:pPr>
            <w:r w:rsidRPr="00391F08">
              <w:rPr>
                <w:rFonts w:ascii="Garamond" w:hAnsi="Garamond" w:cs="Arial"/>
                <w:bCs/>
                <w:sz w:val="20"/>
                <w:szCs w:val="20"/>
              </w:rPr>
              <w:t>0,833</w:t>
            </w:r>
          </w:p>
        </w:tc>
        <w:tc>
          <w:tcPr>
            <w:tcW w:w="0" w:type="auto"/>
            <w:vMerge w:val="restart"/>
            <w:vAlign w:val="center"/>
          </w:tcPr>
          <w:p w14:paraId="28C29729"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0,671</w:t>
            </w:r>
          </w:p>
        </w:tc>
        <w:tc>
          <w:tcPr>
            <w:tcW w:w="0" w:type="auto"/>
            <w:vMerge w:val="restart"/>
            <w:vAlign w:val="center"/>
          </w:tcPr>
          <w:p w14:paraId="4C2DBA0A"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0,874</w:t>
            </w:r>
          </w:p>
        </w:tc>
        <w:tc>
          <w:tcPr>
            <w:tcW w:w="0" w:type="auto"/>
            <w:vMerge w:val="restart"/>
            <w:vAlign w:val="center"/>
          </w:tcPr>
          <w:p w14:paraId="1146E9AD"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0,881</w:t>
            </w:r>
          </w:p>
        </w:tc>
        <w:tc>
          <w:tcPr>
            <w:tcW w:w="0" w:type="auto"/>
            <w:vMerge w:val="restart"/>
            <w:tcBorders>
              <w:right w:val="nil"/>
            </w:tcBorders>
            <w:vAlign w:val="center"/>
          </w:tcPr>
          <w:p w14:paraId="687F55BB"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0,910</w:t>
            </w:r>
          </w:p>
        </w:tc>
      </w:tr>
      <w:tr w:rsidR="00222CAA" w:rsidRPr="00391F08" w14:paraId="157A7EBF" w14:textId="77777777" w:rsidTr="0096187D">
        <w:tc>
          <w:tcPr>
            <w:tcW w:w="0" w:type="auto"/>
            <w:vMerge/>
            <w:tcBorders>
              <w:left w:val="nil"/>
            </w:tcBorders>
            <w:textDirection w:val="btLr"/>
            <w:vAlign w:val="center"/>
          </w:tcPr>
          <w:p w14:paraId="0619D81A"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28840AA1"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SIV2</w:t>
            </w:r>
          </w:p>
        </w:tc>
        <w:tc>
          <w:tcPr>
            <w:tcW w:w="0" w:type="auto"/>
          </w:tcPr>
          <w:p w14:paraId="6C988A44" w14:textId="77777777" w:rsidR="00222CAA" w:rsidRPr="00391F08" w:rsidRDefault="00222CAA" w:rsidP="0096187D">
            <w:pPr>
              <w:spacing w:after="0"/>
              <w:rPr>
                <w:rFonts w:ascii="Garamond" w:hAnsi="Garamond" w:cs="Arial"/>
                <w:sz w:val="20"/>
                <w:szCs w:val="20"/>
                <w:highlight w:val="red"/>
              </w:rPr>
            </w:pPr>
            <w:r w:rsidRPr="00391F08">
              <w:rPr>
                <w:rFonts w:ascii="Garamond" w:hAnsi="Garamond" w:cs="Arial"/>
                <w:sz w:val="20"/>
                <w:szCs w:val="20"/>
              </w:rPr>
              <w:t>Minha vida tem um claro senso de propósito.</w:t>
            </w:r>
          </w:p>
        </w:tc>
        <w:tc>
          <w:tcPr>
            <w:tcW w:w="0" w:type="auto"/>
            <w:vAlign w:val="center"/>
          </w:tcPr>
          <w:p w14:paraId="32FD535B" w14:textId="77777777" w:rsidR="00222CAA" w:rsidRPr="00391F08" w:rsidRDefault="00222CAA" w:rsidP="0096187D">
            <w:pPr>
              <w:spacing w:after="0"/>
              <w:jc w:val="center"/>
              <w:rPr>
                <w:rFonts w:ascii="Garamond" w:hAnsi="Garamond" w:cs="Arial"/>
                <w:sz w:val="20"/>
                <w:szCs w:val="20"/>
                <w:highlight w:val="red"/>
              </w:rPr>
            </w:pPr>
            <w:r w:rsidRPr="00391F08">
              <w:rPr>
                <w:rFonts w:ascii="Garamond" w:hAnsi="Garamond" w:cs="Arial"/>
                <w:bCs/>
                <w:sz w:val="20"/>
                <w:szCs w:val="20"/>
              </w:rPr>
              <w:t>0,861</w:t>
            </w:r>
          </w:p>
        </w:tc>
        <w:tc>
          <w:tcPr>
            <w:tcW w:w="0" w:type="auto"/>
            <w:vMerge/>
          </w:tcPr>
          <w:p w14:paraId="3B739F41" w14:textId="77777777" w:rsidR="00222CAA" w:rsidRPr="00391F08" w:rsidRDefault="00222CAA" w:rsidP="0096187D">
            <w:pPr>
              <w:spacing w:after="0"/>
              <w:rPr>
                <w:rFonts w:ascii="Garamond" w:hAnsi="Garamond" w:cs="Arial"/>
                <w:sz w:val="20"/>
                <w:szCs w:val="20"/>
              </w:rPr>
            </w:pPr>
          </w:p>
        </w:tc>
        <w:tc>
          <w:tcPr>
            <w:tcW w:w="0" w:type="auto"/>
            <w:vMerge/>
          </w:tcPr>
          <w:p w14:paraId="5DB1483E" w14:textId="77777777" w:rsidR="00222CAA" w:rsidRPr="00391F08" w:rsidRDefault="00222CAA" w:rsidP="0096187D">
            <w:pPr>
              <w:spacing w:after="0"/>
              <w:rPr>
                <w:rFonts w:ascii="Garamond" w:hAnsi="Garamond" w:cs="Arial"/>
                <w:sz w:val="20"/>
                <w:szCs w:val="20"/>
              </w:rPr>
            </w:pPr>
          </w:p>
        </w:tc>
        <w:tc>
          <w:tcPr>
            <w:tcW w:w="0" w:type="auto"/>
            <w:vMerge/>
          </w:tcPr>
          <w:p w14:paraId="752D653C"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6991B285" w14:textId="77777777" w:rsidR="00222CAA" w:rsidRPr="00391F08" w:rsidRDefault="00222CAA" w:rsidP="0096187D">
            <w:pPr>
              <w:spacing w:after="0"/>
              <w:rPr>
                <w:rFonts w:ascii="Garamond" w:hAnsi="Garamond" w:cs="Arial"/>
                <w:sz w:val="20"/>
                <w:szCs w:val="20"/>
              </w:rPr>
            </w:pPr>
          </w:p>
        </w:tc>
      </w:tr>
      <w:tr w:rsidR="00222CAA" w:rsidRPr="00391F08" w14:paraId="42EC6BF8" w14:textId="77777777" w:rsidTr="0096187D">
        <w:tc>
          <w:tcPr>
            <w:tcW w:w="0" w:type="auto"/>
            <w:vMerge/>
            <w:tcBorders>
              <w:left w:val="nil"/>
            </w:tcBorders>
            <w:textDirection w:val="btLr"/>
            <w:vAlign w:val="center"/>
          </w:tcPr>
          <w:p w14:paraId="175D247B"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6B4D33E9"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SIV3</w:t>
            </w:r>
          </w:p>
        </w:tc>
        <w:tc>
          <w:tcPr>
            <w:tcW w:w="0" w:type="auto"/>
          </w:tcPr>
          <w:p w14:paraId="0BCD5873" w14:textId="77777777" w:rsidR="00222CAA" w:rsidRPr="00391F08" w:rsidRDefault="00222CAA" w:rsidP="0096187D">
            <w:pPr>
              <w:spacing w:after="0"/>
              <w:rPr>
                <w:rFonts w:ascii="Garamond" w:hAnsi="Garamond" w:cs="Arial"/>
                <w:sz w:val="20"/>
                <w:szCs w:val="20"/>
                <w:highlight w:val="red"/>
              </w:rPr>
            </w:pPr>
            <w:r w:rsidRPr="00391F08">
              <w:rPr>
                <w:rFonts w:ascii="Garamond" w:hAnsi="Garamond" w:cs="Arial"/>
                <w:sz w:val="20"/>
                <w:szCs w:val="20"/>
              </w:rPr>
              <w:t xml:space="preserve">Tenho uma boa noção do que torna minha vida significativa. </w:t>
            </w:r>
          </w:p>
        </w:tc>
        <w:tc>
          <w:tcPr>
            <w:tcW w:w="0" w:type="auto"/>
            <w:vAlign w:val="center"/>
          </w:tcPr>
          <w:p w14:paraId="5FC6EF58" w14:textId="77777777" w:rsidR="00222CAA" w:rsidRPr="00391F08" w:rsidRDefault="00222CAA" w:rsidP="0096187D">
            <w:pPr>
              <w:spacing w:after="0"/>
              <w:jc w:val="center"/>
              <w:rPr>
                <w:rFonts w:ascii="Garamond" w:hAnsi="Garamond" w:cs="Arial"/>
                <w:sz w:val="20"/>
                <w:szCs w:val="20"/>
                <w:highlight w:val="red"/>
              </w:rPr>
            </w:pPr>
            <w:r w:rsidRPr="00391F08">
              <w:rPr>
                <w:rFonts w:ascii="Garamond" w:hAnsi="Garamond" w:cs="Arial"/>
                <w:bCs/>
                <w:sz w:val="20"/>
                <w:szCs w:val="20"/>
              </w:rPr>
              <w:t>0,863</w:t>
            </w:r>
          </w:p>
        </w:tc>
        <w:tc>
          <w:tcPr>
            <w:tcW w:w="0" w:type="auto"/>
            <w:vMerge/>
          </w:tcPr>
          <w:p w14:paraId="6DD8EC51" w14:textId="77777777" w:rsidR="00222CAA" w:rsidRPr="00391F08" w:rsidRDefault="00222CAA" w:rsidP="0096187D">
            <w:pPr>
              <w:spacing w:after="0"/>
              <w:rPr>
                <w:rFonts w:ascii="Garamond" w:hAnsi="Garamond" w:cs="Arial"/>
                <w:sz w:val="20"/>
                <w:szCs w:val="20"/>
              </w:rPr>
            </w:pPr>
          </w:p>
        </w:tc>
        <w:tc>
          <w:tcPr>
            <w:tcW w:w="0" w:type="auto"/>
            <w:vMerge/>
          </w:tcPr>
          <w:p w14:paraId="35EEC81A" w14:textId="77777777" w:rsidR="00222CAA" w:rsidRPr="00391F08" w:rsidRDefault="00222CAA" w:rsidP="0096187D">
            <w:pPr>
              <w:spacing w:after="0"/>
              <w:rPr>
                <w:rFonts w:ascii="Garamond" w:hAnsi="Garamond" w:cs="Arial"/>
                <w:sz w:val="20"/>
                <w:szCs w:val="20"/>
              </w:rPr>
            </w:pPr>
          </w:p>
        </w:tc>
        <w:tc>
          <w:tcPr>
            <w:tcW w:w="0" w:type="auto"/>
            <w:vMerge/>
          </w:tcPr>
          <w:p w14:paraId="247F5DD8"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453FFD7D" w14:textId="77777777" w:rsidR="00222CAA" w:rsidRPr="00391F08" w:rsidRDefault="00222CAA" w:rsidP="0096187D">
            <w:pPr>
              <w:spacing w:after="0"/>
              <w:rPr>
                <w:rFonts w:ascii="Garamond" w:hAnsi="Garamond" w:cs="Arial"/>
                <w:sz w:val="20"/>
                <w:szCs w:val="20"/>
              </w:rPr>
            </w:pPr>
          </w:p>
        </w:tc>
      </w:tr>
      <w:tr w:rsidR="00222CAA" w:rsidRPr="00391F08" w14:paraId="67AB405A" w14:textId="77777777" w:rsidTr="0096187D">
        <w:tc>
          <w:tcPr>
            <w:tcW w:w="0" w:type="auto"/>
            <w:vMerge/>
            <w:tcBorders>
              <w:left w:val="nil"/>
            </w:tcBorders>
            <w:textDirection w:val="btLr"/>
            <w:vAlign w:val="center"/>
          </w:tcPr>
          <w:p w14:paraId="02F6CE7B"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515BFFCD"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SIV4</w:t>
            </w:r>
          </w:p>
        </w:tc>
        <w:tc>
          <w:tcPr>
            <w:tcW w:w="0" w:type="auto"/>
          </w:tcPr>
          <w:p w14:paraId="51714160"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Eu descobri um propósito de vida satisfatório.</w:t>
            </w:r>
          </w:p>
        </w:tc>
        <w:tc>
          <w:tcPr>
            <w:tcW w:w="0" w:type="auto"/>
            <w:vAlign w:val="center"/>
          </w:tcPr>
          <w:p w14:paraId="00E5F1EC"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0,870</w:t>
            </w:r>
          </w:p>
        </w:tc>
        <w:tc>
          <w:tcPr>
            <w:tcW w:w="0" w:type="auto"/>
            <w:vMerge/>
          </w:tcPr>
          <w:p w14:paraId="107E8962" w14:textId="77777777" w:rsidR="00222CAA" w:rsidRPr="00391F08" w:rsidRDefault="00222CAA" w:rsidP="0096187D">
            <w:pPr>
              <w:spacing w:after="0"/>
              <w:rPr>
                <w:rFonts w:ascii="Garamond" w:hAnsi="Garamond" w:cs="Arial"/>
                <w:sz w:val="20"/>
                <w:szCs w:val="20"/>
              </w:rPr>
            </w:pPr>
          </w:p>
        </w:tc>
        <w:tc>
          <w:tcPr>
            <w:tcW w:w="0" w:type="auto"/>
            <w:vMerge/>
          </w:tcPr>
          <w:p w14:paraId="6169333E" w14:textId="77777777" w:rsidR="00222CAA" w:rsidRPr="00391F08" w:rsidRDefault="00222CAA" w:rsidP="0096187D">
            <w:pPr>
              <w:spacing w:after="0"/>
              <w:rPr>
                <w:rFonts w:ascii="Garamond" w:hAnsi="Garamond" w:cs="Arial"/>
                <w:sz w:val="20"/>
                <w:szCs w:val="20"/>
              </w:rPr>
            </w:pPr>
          </w:p>
        </w:tc>
        <w:tc>
          <w:tcPr>
            <w:tcW w:w="0" w:type="auto"/>
            <w:vMerge/>
          </w:tcPr>
          <w:p w14:paraId="1BDFB12C"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6F9CA678" w14:textId="77777777" w:rsidR="00222CAA" w:rsidRPr="00391F08" w:rsidRDefault="00222CAA" w:rsidP="0096187D">
            <w:pPr>
              <w:spacing w:after="0"/>
              <w:rPr>
                <w:rFonts w:ascii="Garamond" w:hAnsi="Garamond" w:cs="Arial"/>
                <w:sz w:val="20"/>
                <w:szCs w:val="20"/>
              </w:rPr>
            </w:pPr>
          </w:p>
        </w:tc>
      </w:tr>
      <w:tr w:rsidR="00222CAA" w:rsidRPr="00391F08" w14:paraId="1A317772" w14:textId="77777777" w:rsidTr="0096187D">
        <w:tc>
          <w:tcPr>
            <w:tcW w:w="0" w:type="auto"/>
            <w:vMerge/>
            <w:tcBorders>
              <w:left w:val="nil"/>
            </w:tcBorders>
            <w:textDirection w:val="btLr"/>
            <w:vAlign w:val="center"/>
          </w:tcPr>
          <w:p w14:paraId="2FD0B927"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755BDBB1"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SIV5</w:t>
            </w:r>
          </w:p>
        </w:tc>
        <w:tc>
          <w:tcPr>
            <w:tcW w:w="0" w:type="auto"/>
          </w:tcPr>
          <w:p w14:paraId="6007FCED"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Minha vida não tem um propósito claro. (R)</w:t>
            </w:r>
          </w:p>
        </w:tc>
        <w:tc>
          <w:tcPr>
            <w:tcW w:w="0" w:type="auto"/>
            <w:vAlign w:val="center"/>
          </w:tcPr>
          <w:p w14:paraId="2D7EF208"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0,647</w:t>
            </w:r>
          </w:p>
        </w:tc>
        <w:tc>
          <w:tcPr>
            <w:tcW w:w="0" w:type="auto"/>
            <w:vMerge/>
          </w:tcPr>
          <w:p w14:paraId="7A17DFE4" w14:textId="77777777" w:rsidR="00222CAA" w:rsidRPr="00391F08" w:rsidRDefault="00222CAA" w:rsidP="0096187D">
            <w:pPr>
              <w:spacing w:after="0"/>
              <w:rPr>
                <w:rFonts w:ascii="Garamond" w:hAnsi="Garamond" w:cs="Arial"/>
                <w:sz w:val="20"/>
                <w:szCs w:val="20"/>
              </w:rPr>
            </w:pPr>
          </w:p>
        </w:tc>
        <w:tc>
          <w:tcPr>
            <w:tcW w:w="0" w:type="auto"/>
            <w:vMerge/>
          </w:tcPr>
          <w:p w14:paraId="00F51682" w14:textId="77777777" w:rsidR="00222CAA" w:rsidRPr="00391F08" w:rsidRDefault="00222CAA" w:rsidP="0096187D">
            <w:pPr>
              <w:spacing w:after="0"/>
              <w:rPr>
                <w:rFonts w:ascii="Garamond" w:hAnsi="Garamond" w:cs="Arial"/>
                <w:sz w:val="20"/>
                <w:szCs w:val="20"/>
              </w:rPr>
            </w:pPr>
          </w:p>
        </w:tc>
        <w:tc>
          <w:tcPr>
            <w:tcW w:w="0" w:type="auto"/>
            <w:vMerge/>
          </w:tcPr>
          <w:p w14:paraId="556D2343"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56EE975C" w14:textId="77777777" w:rsidR="00222CAA" w:rsidRPr="00391F08" w:rsidRDefault="00222CAA" w:rsidP="0096187D">
            <w:pPr>
              <w:spacing w:after="0"/>
              <w:rPr>
                <w:rFonts w:ascii="Garamond" w:hAnsi="Garamond" w:cs="Arial"/>
                <w:sz w:val="20"/>
                <w:szCs w:val="20"/>
              </w:rPr>
            </w:pPr>
          </w:p>
        </w:tc>
      </w:tr>
      <w:tr w:rsidR="00222CAA" w:rsidRPr="00391F08" w14:paraId="1C699471" w14:textId="77777777" w:rsidTr="0096187D">
        <w:tc>
          <w:tcPr>
            <w:tcW w:w="0" w:type="auto"/>
            <w:vMerge w:val="restart"/>
            <w:tcBorders>
              <w:left w:val="nil"/>
            </w:tcBorders>
            <w:textDirection w:val="btLr"/>
            <w:vAlign w:val="center"/>
          </w:tcPr>
          <w:p w14:paraId="76C00DC7" w14:textId="77777777" w:rsidR="00222CAA" w:rsidRPr="00391F08" w:rsidRDefault="00222CAA" w:rsidP="0096187D">
            <w:pPr>
              <w:spacing w:after="0"/>
              <w:ind w:left="113" w:right="113"/>
              <w:jc w:val="center"/>
              <w:rPr>
                <w:rFonts w:ascii="Garamond" w:hAnsi="Garamond" w:cs="Arial"/>
                <w:sz w:val="20"/>
                <w:szCs w:val="20"/>
              </w:rPr>
            </w:pPr>
            <w:r w:rsidRPr="00391F08">
              <w:rPr>
                <w:rFonts w:ascii="Garamond" w:hAnsi="Garamond" w:cs="Arial"/>
                <w:sz w:val="20"/>
                <w:szCs w:val="20"/>
              </w:rPr>
              <w:t>Satisfação no trabalho</w:t>
            </w:r>
          </w:p>
        </w:tc>
        <w:tc>
          <w:tcPr>
            <w:tcW w:w="0" w:type="auto"/>
            <w:vAlign w:val="center"/>
          </w:tcPr>
          <w:p w14:paraId="40DD826E"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ST1</w:t>
            </w:r>
          </w:p>
        </w:tc>
        <w:tc>
          <w:tcPr>
            <w:tcW w:w="0" w:type="auto"/>
          </w:tcPr>
          <w:p w14:paraId="0CE1889C"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No geral, estou satisfeito com o meu trabalho.</w:t>
            </w:r>
          </w:p>
        </w:tc>
        <w:tc>
          <w:tcPr>
            <w:tcW w:w="0" w:type="auto"/>
            <w:vAlign w:val="center"/>
          </w:tcPr>
          <w:p w14:paraId="4342898F"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0,909</w:t>
            </w:r>
          </w:p>
        </w:tc>
        <w:tc>
          <w:tcPr>
            <w:tcW w:w="0" w:type="auto"/>
            <w:vMerge w:val="restart"/>
            <w:vAlign w:val="center"/>
          </w:tcPr>
          <w:p w14:paraId="6AA41853"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0,727</w:t>
            </w:r>
          </w:p>
        </w:tc>
        <w:tc>
          <w:tcPr>
            <w:tcW w:w="0" w:type="auto"/>
            <w:vMerge w:val="restart"/>
            <w:vAlign w:val="center"/>
          </w:tcPr>
          <w:p w14:paraId="34461F24"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0,811</w:t>
            </w:r>
          </w:p>
        </w:tc>
        <w:tc>
          <w:tcPr>
            <w:tcW w:w="0" w:type="auto"/>
            <w:vMerge w:val="restart"/>
            <w:vAlign w:val="center"/>
          </w:tcPr>
          <w:p w14:paraId="01256CA4"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0,820</w:t>
            </w:r>
          </w:p>
        </w:tc>
        <w:tc>
          <w:tcPr>
            <w:tcW w:w="0" w:type="auto"/>
            <w:vMerge w:val="restart"/>
            <w:tcBorders>
              <w:right w:val="nil"/>
            </w:tcBorders>
            <w:vAlign w:val="center"/>
          </w:tcPr>
          <w:p w14:paraId="13C58AC6"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0,888</w:t>
            </w:r>
          </w:p>
        </w:tc>
      </w:tr>
      <w:tr w:rsidR="00222CAA" w:rsidRPr="00391F08" w14:paraId="2B095ADD" w14:textId="77777777" w:rsidTr="0096187D">
        <w:tc>
          <w:tcPr>
            <w:tcW w:w="0" w:type="auto"/>
            <w:vMerge/>
            <w:tcBorders>
              <w:left w:val="nil"/>
            </w:tcBorders>
            <w:textDirection w:val="btLr"/>
            <w:vAlign w:val="center"/>
          </w:tcPr>
          <w:p w14:paraId="19706F1C"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09633BE9" w14:textId="77777777" w:rsidR="00222CAA" w:rsidRPr="00391F08" w:rsidRDefault="00222CAA" w:rsidP="0096187D">
            <w:pPr>
              <w:spacing w:after="0"/>
              <w:jc w:val="center"/>
              <w:rPr>
                <w:rFonts w:ascii="Garamond" w:hAnsi="Garamond" w:cs="Arial"/>
                <w:sz w:val="20"/>
                <w:szCs w:val="20"/>
                <w:u w:val="single"/>
              </w:rPr>
            </w:pPr>
            <w:r w:rsidRPr="00391F08">
              <w:rPr>
                <w:rFonts w:ascii="Garamond" w:hAnsi="Garamond" w:cs="Arial"/>
                <w:sz w:val="20"/>
                <w:szCs w:val="20"/>
              </w:rPr>
              <w:t>ST2</w:t>
            </w:r>
          </w:p>
        </w:tc>
        <w:tc>
          <w:tcPr>
            <w:tcW w:w="0" w:type="auto"/>
          </w:tcPr>
          <w:p w14:paraId="3EFE145A"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Eu preferiria outro trabalho mais ideal. (R)</w:t>
            </w:r>
          </w:p>
        </w:tc>
        <w:tc>
          <w:tcPr>
            <w:tcW w:w="0" w:type="auto"/>
            <w:vAlign w:val="center"/>
          </w:tcPr>
          <w:p w14:paraId="345F9374"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0,794</w:t>
            </w:r>
          </w:p>
        </w:tc>
        <w:tc>
          <w:tcPr>
            <w:tcW w:w="0" w:type="auto"/>
            <w:vMerge/>
          </w:tcPr>
          <w:p w14:paraId="51A8A7B3" w14:textId="77777777" w:rsidR="00222CAA" w:rsidRPr="00391F08" w:rsidRDefault="00222CAA" w:rsidP="0096187D">
            <w:pPr>
              <w:spacing w:after="0"/>
              <w:rPr>
                <w:rFonts w:ascii="Garamond" w:hAnsi="Garamond" w:cs="Arial"/>
                <w:sz w:val="20"/>
                <w:szCs w:val="20"/>
              </w:rPr>
            </w:pPr>
          </w:p>
        </w:tc>
        <w:tc>
          <w:tcPr>
            <w:tcW w:w="0" w:type="auto"/>
            <w:vMerge/>
          </w:tcPr>
          <w:p w14:paraId="4E3660B5" w14:textId="77777777" w:rsidR="00222CAA" w:rsidRPr="00391F08" w:rsidRDefault="00222CAA" w:rsidP="0096187D">
            <w:pPr>
              <w:spacing w:after="0"/>
              <w:rPr>
                <w:rFonts w:ascii="Garamond" w:hAnsi="Garamond" w:cs="Arial"/>
                <w:sz w:val="20"/>
                <w:szCs w:val="20"/>
              </w:rPr>
            </w:pPr>
          </w:p>
        </w:tc>
        <w:tc>
          <w:tcPr>
            <w:tcW w:w="0" w:type="auto"/>
            <w:vMerge/>
          </w:tcPr>
          <w:p w14:paraId="1728E210"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16753F48" w14:textId="77777777" w:rsidR="00222CAA" w:rsidRPr="00391F08" w:rsidRDefault="00222CAA" w:rsidP="0096187D">
            <w:pPr>
              <w:spacing w:after="0"/>
              <w:rPr>
                <w:rFonts w:ascii="Garamond" w:hAnsi="Garamond" w:cs="Arial"/>
                <w:sz w:val="20"/>
                <w:szCs w:val="20"/>
              </w:rPr>
            </w:pPr>
          </w:p>
        </w:tc>
      </w:tr>
      <w:tr w:rsidR="00222CAA" w:rsidRPr="00391F08" w14:paraId="2C6C3352" w14:textId="77777777" w:rsidTr="0096187D">
        <w:tc>
          <w:tcPr>
            <w:tcW w:w="0" w:type="auto"/>
            <w:vMerge/>
            <w:tcBorders>
              <w:left w:val="nil"/>
            </w:tcBorders>
            <w:textDirection w:val="btLr"/>
            <w:vAlign w:val="center"/>
          </w:tcPr>
          <w:p w14:paraId="20EFA27C"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24392C7D"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ST3</w:t>
            </w:r>
          </w:p>
        </w:tc>
        <w:tc>
          <w:tcPr>
            <w:tcW w:w="0" w:type="auto"/>
          </w:tcPr>
          <w:p w14:paraId="406C8F27"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Estou satisfeito com os aspectos importantes do meu trabalho.</w:t>
            </w:r>
          </w:p>
        </w:tc>
        <w:tc>
          <w:tcPr>
            <w:tcW w:w="0" w:type="auto"/>
            <w:vAlign w:val="center"/>
          </w:tcPr>
          <w:p w14:paraId="1FBC998C"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0,851</w:t>
            </w:r>
          </w:p>
        </w:tc>
        <w:tc>
          <w:tcPr>
            <w:tcW w:w="0" w:type="auto"/>
            <w:vMerge/>
          </w:tcPr>
          <w:p w14:paraId="215B4330" w14:textId="77777777" w:rsidR="00222CAA" w:rsidRPr="00391F08" w:rsidRDefault="00222CAA" w:rsidP="0096187D">
            <w:pPr>
              <w:spacing w:after="0"/>
              <w:rPr>
                <w:rFonts w:ascii="Garamond" w:hAnsi="Garamond" w:cs="Arial"/>
                <w:sz w:val="20"/>
                <w:szCs w:val="20"/>
              </w:rPr>
            </w:pPr>
          </w:p>
        </w:tc>
        <w:tc>
          <w:tcPr>
            <w:tcW w:w="0" w:type="auto"/>
            <w:vMerge/>
          </w:tcPr>
          <w:p w14:paraId="452D4C2C" w14:textId="77777777" w:rsidR="00222CAA" w:rsidRPr="00391F08" w:rsidRDefault="00222CAA" w:rsidP="0096187D">
            <w:pPr>
              <w:spacing w:after="0"/>
              <w:rPr>
                <w:rFonts w:ascii="Garamond" w:hAnsi="Garamond" w:cs="Arial"/>
                <w:sz w:val="20"/>
                <w:szCs w:val="20"/>
              </w:rPr>
            </w:pPr>
          </w:p>
        </w:tc>
        <w:tc>
          <w:tcPr>
            <w:tcW w:w="0" w:type="auto"/>
            <w:vMerge/>
          </w:tcPr>
          <w:p w14:paraId="75D0159D"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4ADA1BE0" w14:textId="77777777" w:rsidR="00222CAA" w:rsidRPr="00391F08" w:rsidRDefault="00222CAA" w:rsidP="0096187D">
            <w:pPr>
              <w:spacing w:after="0"/>
              <w:rPr>
                <w:rFonts w:ascii="Garamond" w:hAnsi="Garamond" w:cs="Arial"/>
                <w:sz w:val="20"/>
                <w:szCs w:val="20"/>
              </w:rPr>
            </w:pPr>
          </w:p>
        </w:tc>
      </w:tr>
      <w:tr w:rsidR="00222CAA" w:rsidRPr="00391F08" w14:paraId="156D57B0" w14:textId="77777777" w:rsidTr="0096187D">
        <w:tc>
          <w:tcPr>
            <w:tcW w:w="0" w:type="auto"/>
            <w:vMerge w:val="restart"/>
            <w:tcBorders>
              <w:left w:val="nil"/>
            </w:tcBorders>
            <w:textDirection w:val="btLr"/>
            <w:vAlign w:val="center"/>
          </w:tcPr>
          <w:p w14:paraId="4DF9AD8D" w14:textId="77777777" w:rsidR="00222CAA" w:rsidRPr="00391F08" w:rsidRDefault="00222CAA" w:rsidP="0096187D">
            <w:pPr>
              <w:spacing w:after="0"/>
              <w:ind w:left="113" w:right="113"/>
              <w:jc w:val="center"/>
              <w:rPr>
                <w:rFonts w:ascii="Garamond" w:hAnsi="Garamond" w:cs="Arial"/>
                <w:sz w:val="20"/>
                <w:szCs w:val="20"/>
              </w:rPr>
            </w:pPr>
            <w:r w:rsidRPr="00391F08">
              <w:rPr>
                <w:rFonts w:ascii="Garamond" w:hAnsi="Garamond" w:cs="Arial"/>
                <w:sz w:val="20"/>
                <w:szCs w:val="20"/>
              </w:rPr>
              <w:t>Satisfação com a vida</w:t>
            </w:r>
          </w:p>
        </w:tc>
        <w:tc>
          <w:tcPr>
            <w:tcW w:w="0" w:type="auto"/>
            <w:vAlign w:val="center"/>
          </w:tcPr>
          <w:p w14:paraId="7E83CF1D"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SAV1</w:t>
            </w:r>
          </w:p>
        </w:tc>
        <w:tc>
          <w:tcPr>
            <w:tcW w:w="0" w:type="auto"/>
          </w:tcPr>
          <w:p w14:paraId="21AD8406"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Em sua maior parte, minha vida está próxima do meu ideal.</w:t>
            </w:r>
          </w:p>
        </w:tc>
        <w:tc>
          <w:tcPr>
            <w:tcW w:w="0" w:type="auto"/>
            <w:vAlign w:val="center"/>
          </w:tcPr>
          <w:p w14:paraId="18AE90A8"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0,816</w:t>
            </w:r>
          </w:p>
        </w:tc>
        <w:tc>
          <w:tcPr>
            <w:tcW w:w="0" w:type="auto"/>
            <w:vMerge w:val="restart"/>
            <w:vAlign w:val="center"/>
          </w:tcPr>
          <w:p w14:paraId="7BF03287"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0,660</w:t>
            </w:r>
          </w:p>
        </w:tc>
        <w:tc>
          <w:tcPr>
            <w:tcW w:w="0" w:type="auto"/>
            <w:vMerge w:val="restart"/>
            <w:vAlign w:val="center"/>
          </w:tcPr>
          <w:p w14:paraId="48CF5968"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0,869</w:t>
            </w:r>
          </w:p>
        </w:tc>
        <w:tc>
          <w:tcPr>
            <w:tcW w:w="0" w:type="auto"/>
            <w:vMerge w:val="restart"/>
            <w:vAlign w:val="center"/>
          </w:tcPr>
          <w:p w14:paraId="55A5C811"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0,875</w:t>
            </w:r>
          </w:p>
        </w:tc>
        <w:tc>
          <w:tcPr>
            <w:tcW w:w="0" w:type="auto"/>
            <w:vMerge w:val="restart"/>
            <w:tcBorders>
              <w:right w:val="nil"/>
            </w:tcBorders>
            <w:vAlign w:val="center"/>
          </w:tcPr>
          <w:p w14:paraId="53F9137C"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0,906</w:t>
            </w:r>
          </w:p>
        </w:tc>
      </w:tr>
      <w:tr w:rsidR="00222CAA" w:rsidRPr="00391F08" w14:paraId="121C37EE" w14:textId="77777777" w:rsidTr="0096187D">
        <w:tc>
          <w:tcPr>
            <w:tcW w:w="0" w:type="auto"/>
            <w:vMerge/>
            <w:tcBorders>
              <w:left w:val="nil"/>
            </w:tcBorders>
            <w:textDirection w:val="btLr"/>
            <w:vAlign w:val="center"/>
          </w:tcPr>
          <w:p w14:paraId="1EC9B409"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3B0C807B"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SAV2</w:t>
            </w:r>
          </w:p>
        </w:tc>
        <w:tc>
          <w:tcPr>
            <w:tcW w:w="0" w:type="auto"/>
          </w:tcPr>
          <w:p w14:paraId="69A9C5E6"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As condições da minha vida são excelentes.</w:t>
            </w:r>
          </w:p>
        </w:tc>
        <w:tc>
          <w:tcPr>
            <w:tcW w:w="0" w:type="auto"/>
            <w:vAlign w:val="center"/>
          </w:tcPr>
          <w:p w14:paraId="3119F2E1"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0,842</w:t>
            </w:r>
          </w:p>
        </w:tc>
        <w:tc>
          <w:tcPr>
            <w:tcW w:w="0" w:type="auto"/>
            <w:vMerge/>
          </w:tcPr>
          <w:p w14:paraId="4B8771E9" w14:textId="77777777" w:rsidR="00222CAA" w:rsidRPr="00391F08" w:rsidRDefault="00222CAA" w:rsidP="0096187D">
            <w:pPr>
              <w:spacing w:after="0"/>
              <w:rPr>
                <w:rFonts w:ascii="Garamond" w:hAnsi="Garamond" w:cs="Arial"/>
                <w:sz w:val="20"/>
                <w:szCs w:val="20"/>
              </w:rPr>
            </w:pPr>
          </w:p>
        </w:tc>
        <w:tc>
          <w:tcPr>
            <w:tcW w:w="0" w:type="auto"/>
            <w:vMerge/>
          </w:tcPr>
          <w:p w14:paraId="2629DF1F" w14:textId="77777777" w:rsidR="00222CAA" w:rsidRPr="00391F08" w:rsidRDefault="00222CAA" w:rsidP="0096187D">
            <w:pPr>
              <w:spacing w:after="0"/>
              <w:rPr>
                <w:rFonts w:ascii="Garamond" w:hAnsi="Garamond" w:cs="Arial"/>
                <w:sz w:val="20"/>
                <w:szCs w:val="20"/>
              </w:rPr>
            </w:pPr>
          </w:p>
        </w:tc>
        <w:tc>
          <w:tcPr>
            <w:tcW w:w="0" w:type="auto"/>
            <w:vMerge/>
          </w:tcPr>
          <w:p w14:paraId="2F617C2F"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49E5DB55" w14:textId="77777777" w:rsidR="00222CAA" w:rsidRPr="00391F08" w:rsidRDefault="00222CAA" w:rsidP="0096187D">
            <w:pPr>
              <w:spacing w:after="0"/>
              <w:rPr>
                <w:rFonts w:ascii="Garamond" w:hAnsi="Garamond" w:cs="Arial"/>
                <w:sz w:val="20"/>
                <w:szCs w:val="20"/>
              </w:rPr>
            </w:pPr>
          </w:p>
        </w:tc>
      </w:tr>
      <w:tr w:rsidR="00222CAA" w:rsidRPr="00391F08" w14:paraId="26CD170C" w14:textId="77777777" w:rsidTr="0096187D">
        <w:tc>
          <w:tcPr>
            <w:tcW w:w="0" w:type="auto"/>
            <w:vMerge/>
            <w:tcBorders>
              <w:left w:val="nil"/>
            </w:tcBorders>
            <w:textDirection w:val="btLr"/>
            <w:vAlign w:val="center"/>
          </w:tcPr>
          <w:p w14:paraId="5F9A5616"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3EE585C6"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SAV3</w:t>
            </w:r>
          </w:p>
        </w:tc>
        <w:tc>
          <w:tcPr>
            <w:tcW w:w="0" w:type="auto"/>
          </w:tcPr>
          <w:p w14:paraId="0649D978"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Estou satisfeito com a minha vida.</w:t>
            </w:r>
          </w:p>
        </w:tc>
        <w:tc>
          <w:tcPr>
            <w:tcW w:w="0" w:type="auto"/>
            <w:vAlign w:val="center"/>
          </w:tcPr>
          <w:p w14:paraId="5A289095"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0,875</w:t>
            </w:r>
          </w:p>
        </w:tc>
        <w:tc>
          <w:tcPr>
            <w:tcW w:w="0" w:type="auto"/>
            <w:vMerge/>
          </w:tcPr>
          <w:p w14:paraId="613F829D" w14:textId="77777777" w:rsidR="00222CAA" w:rsidRPr="00391F08" w:rsidRDefault="00222CAA" w:rsidP="0096187D">
            <w:pPr>
              <w:spacing w:after="0"/>
              <w:rPr>
                <w:rFonts w:ascii="Garamond" w:hAnsi="Garamond" w:cs="Arial"/>
                <w:sz w:val="20"/>
                <w:szCs w:val="20"/>
              </w:rPr>
            </w:pPr>
          </w:p>
        </w:tc>
        <w:tc>
          <w:tcPr>
            <w:tcW w:w="0" w:type="auto"/>
            <w:vMerge/>
          </w:tcPr>
          <w:p w14:paraId="5C829CBF" w14:textId="77777777" w:rsidR="00222CAA" w:rsidRPr="00391F08" w:rsidRDefault="00222CAA" w:rsidP="0096187D">
            <w:pPr>
              <w:spacing w:after="0"/>
              <w:rPr>
                <w:rFonts w:ascii="Garamond" w:hAnsi="Garamond" w:cs="Arial"/>
                <w:sz w:val="20"/>
                <w:szCs w:val="20"/>
              </w:rPr>
            </w:pPr>
          </w:p>
        </w:tc>
        <w:tc>
          <w:tcPr>
            <w:tcW w:w="0" w:type="auto"/>
            <w:vMerge/>
          </w:tcPr>
          <w:p w14:paraId="19C431D1"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16B7DE05" w14:textId="77777777" w:rsidR="00222CAA" w:rsidRPr="00391F08" w:rsidRDefault="00222CAA" w:rsidP="0096187D">
            <w:pPr>
              <w:spacing w:after="0"/>
              <w:rPr>
                <w:rFonts w:ascii="Garamond" w:hAnsi="Garamond" w:cs="Arial"/>
                <w:sz w:val="20"/>
                <w:szCs w:val="20"/>
              </w:rPr>
            </w:pPr>
          </w:p>
        </w:tc>
      </w:tr>
      <w:tr w:rsidR="00222CAA" w:rsidRPr="00391F08" w14:paraId="74FF4008" w14:textId="77777777" w:rsidTr="0096187D">
        <w:tc>
          <w:tcPr>
            <w:tcW w:w="0" w:type="auto"/>
            <w:vMerge/>
            <w:tcBorders>
              <w:left w:val="nil"/>
            </w:tcBorders>
            <w:textDirection w:val="btLr"/>
            <w:vAlign w:val="center"/>
          </w:tcPr>
          <w:p w14:paraId="24F9E7CD"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223E5F0B"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SAV4</w:t>
            </w:r>
          </w:p>
        </w:tc>
        <w:tc>
          <w:tcPr>
            <w:tcW w:w="0" w:type="auto"/>
          </w:tcPr>
          <w:p w14:paraId="4DD0EBFB"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Até agora, eu obtive as coisas importantes que eu quero na vida.</w:t>
            </w:r>
          </w:p>
        </w:tc>
        <w:tc>
          <w:tcPr>
            <w:tcW w:w="0" w:type="auto"/>
            <w:vAlign w:val="center"/>
          </w:tcPr>
          <w:p w14:paraId="62F9E4DB"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0,818</w:t>
            </w:r>
          </w:p>
        </w:tc>
        <w:tc>
          <w:tcPr>
            <w:tcW w:w="0" w:type="auto"/>
            <w:vMerge/>
          </w:tcPr>
          <w:p w14:paraId="27CD9C3F" w14:textId="77777777" w:rsidR="00222CAA" w:rsidRPr="00391F08" w:rsidRDefault="00222CAA" w:rsidP="0096187D">
            <w:pPr>
              <w:spacing w:after="0"/>
              <w:rPr>
                <w:rFonts w:ascii="Garamond" w:hAnsi="Garamond" w:cs="Arial"/>
                <w:sz w:val="20"/>
                <w:szCs w:val="20"/>
              </w:rPr>
            </w:pPr>
          </w:p>
        </w:tc>
        <w:tc>
          <w:tcPr>
            <w:tcW w:w="0" w:type="auto"/>
            <w:vMerge/>
          </w:tcPr>
          <w:p w14:paraId="15EFEBF0" w14:textId="77777777" w:rsidR="00222CAA" w:rsidRPr="00391F08" w:rsidRDefault="00222CAA" w:rsidP="0096187D">
            <w:pPr>
              <w:spacing w:after="0"/>
              <w:rPr>
                <w:rFonts w:ascii="Garamond" w:hAnsi="Garamond" w:cs="Arial"/>
                <w:sz w:val="20"/>
                <w:szCs w:val="20"/>
              </w:rPr>
            </w:pPr>
          </w:p>
        </w:tc>
        <w:tc>
          <w:tcPr>
            <w:tcW w:w="0" w:type="auto"/>
            <w:vMerge/>
          </w:tcPr>
          <w:p w14:paraId="303B21DE"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678F06A8" w14:textId="77777777" w:rsidR="00222CAA" w:rsidRPr="00391F08" w:rsidRDefault="00222CAA" w:rsidP="0096187D">
            <w:pPr>
              <w:spacing w:after="0"/>
              <w:rPr>
                <w:rFonts w:ascii="Garamond" w:hAnsi="Garamond" w:cs="Arial"/>
                <w:sz w:val="20"/>
                <w:szCs w:val="20"/>
              </w:rPr>
            </w:pPr>
          </w:p>
        </w:tc>
      </w:tr>
      <w:tr w:rsidR="00222CAA" w:rsidRPr="00391F08" w14:paraId="1C48AC37" w14:textId="77777777" w:rsidTr="0096187D">
        <w:tc>
          <w:tcPr>
            <w:tcW w:w="0" w:type="auto"/>
            <w:vMerge/>
            <w:tcBorders>
              <w:left w:val="nil"/>
            </w:tcBorders>
            <w:textDirection w:val="btLr"/>
            <w:vAlign w:val="center"/>
          </w:tcPr>
          <w:p w14:paraId="7F486D69"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189A54C0"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SAV5</w:t>
            </w:r>
          </w:p>
        </w:tc>
        <w:tc>
          <w:tcPr>
            <w:tcW w:w="0" w:type="auto"/>
          </w:tcPr>
          <w:p w14:paraId="73B20A1C"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Se eu pudesse reviver minha vida, eu mudaria quase nada.</w:t>
            </w:r>
          </w:p>
        </w:tc>
        <w:tc>
          <w:tcPr>
            <w:tcW w:w="0" w:type="auto"/>
            <w:vAlign w:val="center"/>
          </w:tcPr>
          <w:p w14:paraId="103AD580"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0,699</w:t>
            </w:r>
          </w:p>
        </w:tc>
        <w:tc>
          <w:tcPr>
            <w:tcW w:w="0" w:type="auto"/>
            <w:vMerge/>
          </w:tcPr>
          <w:p w14:paraId="3C1D56C2" w14:textId="77777777" w:rsidR="00222CAA" w:rsidRPr="00391F08" w:rsidRDefault="00222CAA" w:rsidP="0096187D">
            <w:pPr>
              <w:spacing w:after="0"/>
              <w:rPr>
                <w:rFonts w:ascii="Garamond" w:hAnsi="Garamond" w:cs="Arial"/>
                <w:sz w:val="20"/>
                <w:szCs w:val="20"/>
              </w:rPr>
            </w:pPr>
          </w:p>
        </w:tc>
        <w:tc>
          <w:tcPr>
            <w:tcW w:w="0" w:type="auto"/>
            <w:vMerge/>
          </w:tcPr>
          <w:p w14:paraId="4C96205A" w14:textId="77777777" w:rsidR="00222CAA" w:rsidRPr="00391F08" w:rsidRDefault="00222CAA" w:rsidP="0096187D">
            <w:pPr>
              <w:spacing w:after="0"/>
              <w:rPr>
                <w:rFonts w:ascii="Garamond" w:hAnsi="Garamond" w:cs="Arial"/>
                <w:sz w:val="20"/>
                <w:szCs w:val="20"/>
              </w:rPr>
            </w:pPr>
          </w:p>
        </w:tc>
        <w:tc>
          <w:tcPr>
            <w:tcW w:w="0" w:type="auto"/>
            <w:vMerge/>
          </w:tcPr>
          <w:p w14:paraId="3663E84D"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31D39004" w14:textId="77777777" w:rsidR="00222CAA" w:rsidRPr="00391F08" w:rsidRDefault="00222CAA" w:rsidP="0096187D">
            <w:pPr>
              <w:spacing w:after="0"/>
              <w:rPr>
                <w:rFonts w:ascii="Garamond" w:hAnsi="Garamond" w:cs="Arial"/>
                <w:sz w:val="20"/>
                <w:szCs w:val="20"/>
              </w:rPr>
            </w:pPr>
          </w:p>
        </w:tc>
      </w:tr>
      <w:tr w:rsidR="00222CAA" w:rsidRPr="00391F08" w14:paraId="1CA135F3" w14:textId="77777777" w:rsidTr="0096187D">
        <w:tc>
          <w:tcPr>
            <w:tcW w:w="0" w:type="auto"/>
            <w:vMerge w:val="restart"/>
            <w:tcBorders>
              <w:left w:val="nil"/>
            </w:tcBorders>
            <w:textDirection w:val="btLr"/>
            <w:vAlign w:val="center"/>
          </w:tcPr>
          <w:p w14:paraId="2B038DC0" w14:textId="77777777" w:rsidR="00222CAA" w:rsidRPr="00391F08" w:rsidRDefault="00222CAA" w:rsidP="0096187D">
            <w:pPr>
              <w:spacing w:after="0"/>
              <w:ind w:left="113" w:right="113"/>
              <w:jc w:val="center"/>
              <w:rPr>
                <w:rFonts w:ascii="Garamond" w:hAnsi="Garamond" w:cs="Arial"/>
                <w:sz w:val="20"/>
                <w:szCs w:val="20"/>
              </w:rPr>
            </w:pPr>
            <w:r w:rsidRPr="00391F08">
              <w:rPr>
                <w:rFonts w:ascii="Garamond" w:hAnsi="Garamond" w:cs="Arial"/>
                <w:sz w:val="20"/>
                <w:szCs w:val="20"/>
              </w:rPr>
              <w:t>Bem-estar existencial</w:t>
            </w:r>
          </w:p>
        </w:tc>
        <w:tc>
          <w:tcPr>
            <w:tcW w:w="0" w:type="auto"/>
            <w:vAlign w:val="center"/>
          </w:tcPr>
          <w:p w14:paraId="4261DB70"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BE1</w:t>
            </w:r>
          </w:p>
        </w:tc>
        <w:tc>
          <w:tcPr>
            <w:tcW w:w="0" w:type="auto"/>
          </w:tcPr>
          <w:p w14:paraId="3F2C259D"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Sempre parece que estou fazendo as coisas de maneira errada. (R)</w:t>
            </w:r>
          </w:p>
        </w:tc>
        <w:tc>
          <w:tcPr>
            <w:tcW w:w="0" w:type="auto"/>
            <w:vAlign w:val="center"/>
          </w:tcPr>
          <w:p w14:paraId="1BABCE48"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0,798</w:t>
            </w:r>
          </w:p>
        </w:tc>
        <w:tc>
          <w:tcPr>
            <w:tcW w:w="0" w:type="auto"/>
            <w:vMerge w:val="restart"/>
            <w:vAlign w:val="center"/>
          </w:tcPr>
          <w:p w14:paraId="29155642"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0,649</w:t>
            </w:r>
          </w:p>
        </w:tc>
        <w:tc>
          <w:tcPr>
            <w:tcW w:w="0" w:type="auto"/>
            <w:vMerge w:val="restart"/>
            <w:vAlign w:val="center"/>
          </w:tcPr>
          <w:p w14:paraId="329ADB00"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0,865</w:t>
            </w:r>
          </w:p>
        </w:tc>
        <w:tc>
          <w:tcPr>
            <w:tcW w:w="0" w:type="auto"/>
            <w:vMerge w:val="restart"/>
            <w:vAlign w:val="center"/>
          </w:tcPr>
          <w:p w14:paraId="79D04B3D"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0,874</w:t>
            </w:r>
          </w:p>
        </w:tc>
        <w:tc>
          <w:tcPr>
            <w:tcW w:w="0" w:type="auto"/>
            <w:vMerge w:val="restart"/>
            <w:tcBorders>
              <w:right w:val="nil"/>
            </w:tcBorders>
            <w:vAlign w:val="center"/>
          </w:tcPr>
          <w:p w14:paraId="46E364DC"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0,902</w:t>
            </w:r>
          </w:p>
        </w:tc>
      </w:tr>
      <w:tr w:rsidR="00222CAA" w:rsidRPr="00391F08" w14:paraId="7063D3BB" w14:textId="77777777" w:rsidTr="0096187D">
        <w:tc>
          <w:tcPr>
            <w:tcW w:w="0" w:type="auto"/>
            <w:vMerge/>
            <w:tcBorders>
              <w:left w:val="nil"/>
            </w:tcBorders>
            <w:textDirection w:val="btLr"/>
            <w:vAlign w:val="center"/>
          </w:tcPr>
          <w:p w14:paraId="6F9F5F93"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5022825D"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BE2</w:t>
            </w:r>
          </w:p>
        </w:tc>
        <w:tc>
          <w:tcPr>
            <w:tcW w:w="0" w:type="auto"/>
          </w:tcPr>
          <w:p w14:paraId="56EFFC48"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Eu não estou confortável comigo mesmo. (R)</w:t>
            </w:r>
          </w:p>
        </w:tc>
        <w:tc>
          <w:tcPr>
            <w:tcW w:w="0" w:type="auto"/>
            <w:vAlign w:val="center"/>
          </w:tcPr>
          <w:p w14:paraId="4FAE2F78"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0,805</w:t>
            </w:r>
          </w:p>
        </w:tc>
        <w:tc>
          <w:tcPr>
            <w:tcW w:w="0" w:type="auto"/>
            <w:vMerge/>
          </w:tcPr>
          <w:p w14:paraId="685FFC36" w14:textId="77777777" w:rsidR="00222CAA" w:rsidRPr="00391F08" w:rsidRDefault="00222CAA" w:rsidP="0096187D">
            <w:pPr>
              <w:spacing w:after="0"/>
              <w:rPr>
                <w:rFonts w:ascii="Garamond" w:hAnsi="Garamond" w:cs="Arial"/>
                <w:sz w:val="20"/>
                <w:szCs w:val="20"/>
              </w:rPr>
            </w:pPr>
          </w:p>
        </w:tc>
        <w:tc>
          <w:tcPr>
            <w:tcW w:w="0" w:type="auto"/>
            <w:vMerge/>
          </w:tcPr>
          <w:p w14:paraId="455B99DB" w14:textId="77777777" w:rsidR="00222CAA" w:rsidRPr="00391F08" w:rsidRDefault="00222CAA" w:rsidP="0096187D">
            <w:pPr>
              <w:spacing w:after="0"/>
              <w:rPr>
                <w:rFonts w:ascii="Garamond" w:hAnsi="Garamond" w:cs="Arial"/>
                <w:sz w:val="20"/>
                <w:szCs w:val="20"/>
              </w:rPr>
            </w:pPr>
          </w:p>
        </w:tc>
        <w:tc>
          <w:tcPr>
            <w:tcW w:w="0" w:type="auto"/>
            <w:vMerge/>
          </w:tcPr>
          <w:p w14:paraId="662A3229"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7BD3334C" w14:textId="77777777" w:rsidR="00222CAA" w:rsidRPr="00391F08" w:rsidRDefault="00222CAA" w:rsidP="0096187D">
            <w:pPr>
              <w:spacing w:after="0"/>
              <w:rPr>
                <w:rFonts w:ascii="Garamond" w:hAnsi="Garamond" w:cs="Arial"/>
                <w:sz w:val="20"/>
                <w:szCs w:val="20"/>
              </w:rPr>
            </w:pPr>
          </w:p>
        </w:tc>
      </w:tr>
      <w:tr w:rsidR="00222CAA" w:rsidRPr="00391F08" w14:paraId="350A9259" w14:textId="77777777" w:rsidTr="0096187D">
        <w:tc>
          <w:tcPr>
            <w:tcW w:w="0" w:type="auto"/>
            <w:vMerge/>
            <w:tcBorders>
              <w:left w:val="nil"/>
            </w:tcBorders>
            <w:textDirection w:val="btLr"/>
            <w:vAlign w:val="center"/>
          </w:tcPr>
          <w:p w14:paraId="40BEA724"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6D1EF3CE"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BE3</w:t>
            </w:r>
          </w:p>
        </w:tc>
        <w:tc>
          <w:tcPr>
            <w:tcW w:w="0" w:type="auto"/>
          </w:tcPr>
          <w:p w14:paraId="577C1CF9"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Muito do que faço na vida parece forçado. (R)</w:t>
            </w:r>
          </w:p>
        </w:tc>
        <w:tc>
          <w:tcPr>
            <w:tcW w:w="0" w:type="auto"/>
            <w:vAlign w:val="center"/>
          </w:tcPr>
          <w:p w14:paraId="4F704F1A"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0,854</w:t>
            </w:r>
          </w:p>
        </w:tc>
        <w:tc>
          <w:tcPr>
            <w:tcW w:w="0" w:type="auto"/>
            <w:vMerge/>
          </w:tcPr>
          <w:p w14:paraId="22977FB3" w14:textId="77777777" w:rsidR="00222CAA" w:rsidRPr="00391F08" w:rsidRDefault="00222CAA" w:rsidP="0096187D">
            <w:pPr>
              <w:spacing w:after="0"/>
              <w:rPr>
                <w:rFonts w:ascii="Garamond" w:hAnsi="Garamond" w:cs="Arial"/>
                <w:sz w:val="20"/>
                <w:szCs w:val="20"/>
              </w:rPr>
            </w:pPr>
          </w:p>
        </w:tc>
        <w:tc>
          <w:tcPr>
            <w:tcW w:w="0" w:type="auto"/>
            <w:vMerge/>
          </w:tcPr>
          <w:p w14:paraId="290AB50B" w14:textId="77777777" w:rsidR="00222CAA" w:rsidRPr="00391F08" w:rsidRDefault="00222CAA" w:rsidP="0096187D">
            <w:pPr>
              <w:spacing w:after="0"/>
              <w:rPr>
                <w:rFonts w:ascii="Garamond" w:hAnsi="Garamond" w:cs="Arial"/>
                <w:sz w:val="20"/>
                <w:szCs w:val="20"/>
              </w:rPr>
            </w:pPr>
          </w:p>
        </w:tc>
        <w:tc>
          <w:tcPr>
            <w:tcW w:w="0" w:type="auto"/>
            <w:vMerge/>
          </w:tcPr>
          <w:p w14:paraId="1AD0379F"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40F29352" w14:textId="77777777" w:rsidR="00222CAA" w:rsidRPr="00391F08" w:rsidRDefault="00222CAA" w:rsidP="0096187D">
            <w:pPr>
              <w:spacing w:after="0"/>
              <w:rPr>
                <w:rFonts w:ascii="Garamond" w:hAnsi="Garamond" w:cs="Arial"/>
                <w:sz w:val="20"/>
                <w:szCs w:val="20"/>
              </w:rPr>
            </w:pPr>
          </w:p>
        </w:tc>
      </w:tr>
      <w:tr w:rsidR="00222CAA" w:rsidRPr="00391F08" w14:paraId="0AADE243" w14:textId="77777777" w:rsidTr="0096187D">
        <w:tc>
          <w:tcPr>
            <w:tcW w:w="0" w:type="auto"/>
            <w:vMerge/>
            <w:tcBorders>
              <w:left w:val="nil"/>
            </w:tcBorders>
            <w:textDirection w:val="btLr"/>
            <w:vAlign w:val="center"/>
          </w:tcPr>
          <w:p w14:paraId="719D26D6"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34E7DD06"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BE4</w:t>
            </w:r>
          </w:p>
        </w:tc>
        <w:tc>
          <w:tcPr>
            <w:tcW w:w="0" w:type="auto"/>
          </w:tcPr>
          <w:p w14:paraId="3E16FDA1"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Minha vida é muitas vezes problemática. (R)</w:t>
            </w:r>
          </w:p>
        </w:tc>
        <w:tc>
          <w:tcPr>
            <w:tcW w:w="0" w:type="auto"/>
            <w:vAlign w:val="center"/>
          </w:tcPr>
          <w:p w14:paraId="130CEA26"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0,816</w:t>
            </w:r>
          </w:p>
        </w:tc>
        <w:tc>
          <w:tcPr>
            <w:tcW w:w="0" w:type="auto"/>
            <w:vMerge/>
          </w:tcPr>
          <w:p w14:paraId="717F736B" w14:textId="77777777" w:rsidR="00222CAA" w:rsidRPr="00391F08" w:rsidRDefault="00222CAA" w:rsidP="0096187D">
            <w:pPr>
              <w:spacing w:after="0"/>
              <w:rPr>
                <w:rFonts w:ascii="Garamond" w:hAnsi="Garamond" w:cs="Arial"/>
                <w:sz w:val="20"/>
                <w:szCs w:val="20"/>
              </w:rPr>
            </w:pPr>
          </w:p>
        </w:tc>
        <w:tc>
          <w:tcPr>
            <w:tcW w:w="0" w:type="auto"/>
            <w:vMerge/>
          </w:tcPr>
          <w:p w14:paraId="417BB1E1" w14:textId="77777777" w:rsidR="00222CAA" w:rsidRPr="00391F08" w:rsidRDefault="00222CAA" w:rsidP="0096187D">
            <w:pPr>
              <w:spacing w:after="0"/>
              <w:rPr>
                <w:rFonts w:ascii="Garamond" w:hAnsi="Garamond" w:cs="Arial"/>
                <w:sz w:val="20"/>
                <w:szCs w:val="20"/>
              </w:rPr>
            </w:pPr>
          </w:p>
        </w:tc>
        <w:tc>
          <w:tcPr>
            <w:tcW w:w="0" w:type="auto"/>
            <w:vMerge/>
          </w:tcPr>
          <w:p w14:paraId="4163CEB1"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2CFD40DB" w14:textId="77777777" w:rsidR="00222CAA" w:rsidRPr="00391F08" w:rsidRDefault="00222CAA" w:rsidP="0096187D">
            <w:pPr>
              <w:spacing w:after="0"/>
              <w:rPr>
                <w:rFonts w:ascii="Garamond" w:hAnsi="Garamond" w:cs="Arial"/>
                <w:sz w:val="20"/>
                <w:szCs w:val="20"/>
              </w:rPr>
            </w:pPr>
          </w:p>
        </w:tc>
      </w:tr>
      <w:tr w:rsidR="00222CAA" w:rsidRPr="00391F08" w14:paraId="71F72338" w14:textId="77777777" w:rsidTr="0096187D">
        <w:tc>
          <w:tcPr>
            <w:tcW w:w="0" w:type="auto"/>
            <w:vMerge/>
            <w:tcBorders>
              <w:left w:val="nil"/>
            </w:tcBorders>
            <w:textDirection w:val="btLr"/>
            <w:vAlign w:val="center"/>
          </w:tcPr>
          <w:p w14:paraId="4BCDC981"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30B8374D"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BE5</w:t>
            </w:r>
          </w:p>
        </w:tc>
        <w:tc>
          <w:tcPr>
            <w:tcW w:w="0" w:type="auto"/>
          </w:tcPr>
          <w:p w14:paraId="262E4BDB"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Muitas vezes me sinto tenso. (R)</w:t>
            </w:r>
          </w:p>
        </w:tc>
        <w:tc>
          <w:tcPr>
            <w:tcW w:w="0" w:type="auto"/>
            <w:vAlign w:val="center"/>
          </w:tcPr>
          <w:p w14:paraId="5920E3F4"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bCs/>
                <w:sz w:val="20"/>
                <w:szCs w:val="20"/>
              </w:rPr>
              <w:t>0,751</w:t>
            </w:r>
          </w:p>
        </w:tc>
        <w:tc>
          <w:tcPr>
            <w:tcW w:w="0" w:type="auto"/>
            <w:vMerge/>
          </w:tcPr>
          <w:p w14:paraId="5DD5E7D9" w14:textId="77777777" w:rsidR="00222CAA" w:rsidRPr="00391F08" w:rsidRDefault="00222CAA" w:rsidP="0096187D">
            <w:pPr>
              <w:spacing w:after="0"/>
              <w:rPr>
                <w:rFonts w:ascii="Garamond" w:hAnsi="Garamond" w:cs="Arial"/>
                <w:sz w:val="20"/>
                <w:szCs w:val="20"/>
              </w:rPr>
            </w:pPr>
          </w:p>
        </w:tc>
        <w:tc>
          <w:tcPr>
            <w:tcW w:w="0" w:type="auto"/>
            <w:vMerge/>
          </w:tcPr>
          <w:p w14:paraId="722C525C" w14:textId="77777777" w:rsidR="00222CAA" w:rsidRPr="00391F08" w:rsidRDefault="00222CAA" w:rsidP="0096187D">
            <w:pPr>
              <w:spacing w:after="0"/>
              <w:rPr>
                <w:rFonts w:ascii="Garamond" w:hAnsi="Garamond" w:cs="Arial"/>
                <w:sz w:val="20"/>
                <w:szCs w:val="20"/>
              </w:rPr>
            </w:pPr>
          </w:p>
        </w:tc>
        <w:tc>
          <w:tcPr>
            <w:tcW w:w="0" w:type="auto"/>
            <w:vMerge/>
          </w:tcPr>
          <w:p w14:paraId="29608E28"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783A5C62" w14:textId="77777777" w:rsidR="00222CAA" w:rsidRPr="00391F08" w:rsidRDefault="00222CAA" w:rsidP="0096187D">
            <w:pPr>
              <w:spacing w:after="0"/>
              <w:rPr>
                <w:rFonts w:ascii="Garamond" w:hAnsi="Garamond" w:cs="Arial"/>
                <w:sz w:val="20"/>
                <w:szCs w:val="20"/>
              </w:rPr>
            </w:pPr>
          </w:p>
        </w:tc>
      </w:tr>
      <w:tr w:rsidR="00222CAA" w:rsidRPr="00391F08" w14:paraId="506CC3D8" w14:textId="77777777" w:rsidTr="0096187D">
        <w:tc>
          <w:tcPr>
            <w:tcW w:w="0" w:type="auto"/>
            <w:vMerge/>
            <w:tcBorders>
              <w:left w:val="nil"/>
            </w:tcBorders>
            <w:textDirection w:val="btLr"/>
            <w:vAlign w:val="center"/>
          </w:tcPr>
          <w:p w14:paraId="310F12DB" w14:textId="77777777" w:rsidR="00222CAA" w:rsidRPr="00391F08" w:rsidRDefault="00222CAA" w:rsidP="0096187D">
            <w:pPr>
              <w:spacing w:after="0"/>
              <w:ind w:left="113" w:right="113"/>
              <w:jc w:val="center"/>
              <w:rPr>
                <w:rFonts w:ascii="Garamond" w:hAnsi="Garamond" w:cs="Arial"/>
                <w:sz w:val="20"/>
                <w:szCs w:val="20"/>
              </w:rPr>
            </w:pPr>
          </w:p>
        </w:tc>
        <w:tc>
          <w:tcPr>
            <w:tcW w:w="0" w:type="auto"/>
            <w:vAlign w:val="center"/>
          </w:tcPr>
          <w:p w14:paraId="2A532A9C"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BE6</w:t>
            </w:r>
          </w:p>
        </w:tc>
        <w:tc>
          <w:tcPr>
            <w:tcW w:w="0" w:type="auto"/>
          </w:tcPr>
          <w:p w14:paraId="53966E59"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Eu sou uma pessoa infeliz. (R)</w:t>
            </w:r>
          </w:p>
        </w:tc>
        <w:tc>
          <w:tcPr>
            <w:tcW w:w="0" w:type="auto"/>
            <w:vAlign w:val="center"/>
          </w:tcPr>
          <w:p w14:paraId="4D1437B4"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Excluída</w:t>
            </w:r>
          </w:p>
        </w:tc>
        <w:tc>
          <w:tcPr>
            <w:tcW w:w="0" w:type="auto"/>
            <w:vMerge/>
          </w:tcPr>
          <w:p w14:paraId="1BA9D966" w14:textId="77777777" w:rsidR="00222CAA" w:rsidRPr="00391F08" w:rsidRDefault="00222CAA" w:rsidP="0096187D">
            <w:pPr>
              <w:spacing w:after="0"/>
              <w:rPr>
                <w:rFonts w:ascii="Garamond" w:hAnsi="Garamond" w:cs="Arial"/>
                <w:sz w:val="20"/>
                <w:szCs w:val="20"/>
              </w:rPr>
            </w:pPr>
          </w:p>
        </w:tc>
        <w:tc>
          <w:tcPr>
            <w:tcW w:w="0" w:type="auto"/>
            <w:vMerge/>
          </w:tcPr>
          <w:p w14:paraId="5E05CBD6" w14:textId="77777777" w:rsidR="00222CAA" w:rsidRPr="00391F08" w:rsidRDefault="00222CAA" w:rsidP="0096187D">
            <w:pPr>
              <w:spacing w:after="0"/>
              <w:rPr>
                <w:rFonts w:ascii="Garamond" w:hAnsi="Garamond" w:cs="Arial"/>
                <w:sz w:val="20"/>
                <w:szCs w:val="20"/>
              </w:rPr>
            </w:pPr>
          </w:p>
        </w:tc>
        <w:tc>
          <w:tcPr>
            <w:tcW w:w="0" w:type="auto"/>
            <w:vMerge/>
          </w:tcPr>
          <w:p w14:paraId="1F69A9E9"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33A808F7" w14:textId="77777777" w:rsidR="00222CAA" w:rsidRPr="00391F08" w:rsidRDefault="00222CAA" w:rsidP="0096187D">
            <w:pPr>
              <w:spacing w:after="0"/>
              <w:rPr>
                <w:rFonts w:ascii="Garamond" w:hAnsi="Garamond" w:cs="Arial"/>
                <w:sz w:val="20"/>
                <w:szCs w:val="20"/>
              </w:rPr>
            </w:pPr>
          </w:p>
        </w:tc>
      </w:tr>
      <w:tr w:rsidR="00222CAA" w:rsidRPr="00391F08" w14:paraId="72B99E7D" w14:textId="77777777" w:rsidTr="0096187D">
        <w:tc>
          <w:tcPr>
            <w:tcW w:w="0" w:type="auto"/>
            <w:vMerge w:val="restart"/>
            <w:tcBorders>
              <w:left w:val="nil"/>
            </w:tcBorders>
            <w:textDirection w:val="btLr"/>
            <w:vAlign w:val="center"/>
          </w:tcPr>
          <w:p w14:paraId="77A226AF" w14:textId="77777777" w:rsidR="00222CAA" w:rsidRPr="00391F08" w:rsidRDefault="00222CAA" w:rsidP="0096187D">
            <w:pPr>
              <w:spacing w:after="0"/>
              <w:ind w:left="113" w:right="113"/>
              <w:jc w:val="center"/>
              <w:rPr>
                <w:rFonts w:ascii="Garamond" w:hAnsi="Garamond" w:cs="Arial"/>
                <w:sz w:val="20"/>
                <w:szCs w:val="20"/>
              </w:rPr>
            </w:pPr>
            <w:r w:rsidRPr="00391F08">
              <w:rPr>
                <w:rFonts w:ascii="Garamond" w:hAnsi="Garamond" w:cs="Arial"/>
                <w:sz w:val="20"/>
                <w:szCs w:val="20"/>
              </w:rPr>
              <w:t>Comprometimento com a carreira</w:t>
            </w:r>
          </w:p>
        </w:tc>
        <w:tc>
          <w:tcPr>
            <w:tcW w:w="0" w:type="auto"/>
            <w:vAlign w:val="center"/>
          </w:tcPr>
          <w:p w14:paraId="22B2F306"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CC1</w:t>
            </w:r>
          </w:p>
        </w:tc>
        <w:tc>
          <w:tcPr>
            <w:tcW w:w="0" w:type="auto"/>
          </w:tcPr>
          <w:p w14:paraId="4621F2F0"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Se eu pudesse conseguir outro emprego diferente do atual e com o mesmo pagamento, provavelmente aceitaria. (R)</w:t>
            </w:r>
          </w:p>
        </w:tc>
        <w:tc>
          <w:tcPr>
            <w:tcW w:w="0" w:type="auto"/>
            <w:vAlign w:val="center"/>
          </w:tcPr>
          <w:p w14:paraId="1F71BF26"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Excluída</w:t>
            </w:r>
          </w:p>
        </w:tc>
        <w:tc>
          <w:tcPr>
            <w:tcW w:w="0" w:type="auto"/>
            <w:vMerge w:val="restart"/>
            <w:vAlign w:val="center"/>
          </w:tcPr>
          <w:p w14:paraId="69BEE61A"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0,502</w:t>
            </w:r>
          </w:p>
        </w:tc>
        <w:tc>
          <w:tcPr>
            <w:tcW w:w="0" w:type="auto"/>
            <w:vMerge w:val="restart"/>
            <w:vAlign w:val="center"/>
          </w:tcPr>
          <w:p w14:paraId="5B8E505B"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0,798</w:t>
            </w:r>
          </w:p>
        </w:tc>
        <w:tc>
          <w:tcPr>
            <w:tcW w:w="0" w:type="auto"/>
            <w:vMerge w:val="restart"/>
            <w:vAlign w:val="center"/>
          </w:tcPr>
          <w:p w14:paraId="7DAD95E3"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0,804</w:t>
            </w:r>
          </w:p>
        </w:tc>
        <w:tc>
          <w:tcPr>
            <w:tcW w:w="0" w:type="auto"/>
            <w:vMerge w:val="restart"/>
            <w:tcBorders>
              <w:right w:val="nil"/>
            </w:tcBorders>
            <w:vAlign w:val="center"/>
          </w:tcPr>
          <w:p w14:paraId="075C15B6"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0,857</w:t>
            </w:r>
          </w:p>
        </w:tc>
      </w:tr>
      <w:tr w:rsidR="00222CAA" w:rsidRPr="00391F08" w14:paraId="33D5F38A" w14:textId="77777777" w:rsidTr="0096187D">
        <w:tc>
          <w:tcPr>
            <w:tcW w:w="0" w:type="auto"/>
            <w:vMerge/>
            <w:tcBorders>
              <w:left w:val="nil"/>
            </w:tcBorders>
            <w:vAlign w:val="center"/>
          </w:tcPr>
          <w:p w14:paraId="5602042A" w14:textId="77777777" w:rsidR="00222CAA" w:rsidRPr="00391F08" w:rsidRDefault="00222CAA" w:rsidP="0096187D">
            <w:pPr>
              <w:spacing w:after="0"/>
              <w:rPr>
                <w:rFonts w:ascii="Garamond" w:hAnsi="Garamond" w:cs="Arial"/>
                <w:sz w:val="20"/>
                <w:szCs w:val="20"/>
              </w:rPr>
            </w:pPr>
          </w:p>
        </w:tc>
        <w:tc>
          <w:tcPr>
            <w:tcW w:w="0" w:type="auto"/>
            <w:vAlign w:val="center"/>
          </w:tcPr>
          <w:p w14:paraId="2666A8AF"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CC2</w:t>
            </w:r>
          </w:p>
        </w:tc>
        <w:tc>
          <w:tcPr>
            <w:tcW w:w="0" w:type="auto"/>
          </w:tcPr>
          <w:p w14:paraId="4B620ADB"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Eu definitivamente quero uma carreira para mim no meu emprego atual.</w:t>
            </w:r>
          </w:p>
        </w:tc>
        <w:tc>
          <w:tcPr>
            <w:tcW w:w="0" w:type="auto"/>
            <w:vAlign w:val="center"/>
          </w:tcPr>
          <w:p w14:paraId="0B473FC4"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0,646</w:t>
            </w:r>
          </w:p>
        </w:tc>
        <w:tc>
          <w:tcPr>
            <w:tcW w:w="0" w:type="auto"/>
            <w:vMerge/>
          </w:tcPr>
          <w:p w14:paraId="4765EB44" w14:textId="77777777" w:rsidR="00222CAA" w:rsidRPr="00391F08" w:rsidRDefault="00222CAA" w:rsidP="0096187D">
            <w:pPr>
              <w:spacing w:after="0"/>
              <w:rPr>
                <w:rFonts w:ascii="Garamond" w:hAnsi="Garamond" w:cs="Arial"/>
                <w:sz w:val="20"/>
                <w:szCs w:val="20"/>
              </w:rPr>
            </w:pPr>
          </w:p>
        </w:tc>
        <w:tc>
          <w:tcPr>
            <w:tcW w:w="0" w:type="auto"/>
            <w:vMerge/>
          </w:tcPr>
          <w:p w14:paraId="2BFF57DC" w14:textId="77777777" w:rsidR="00222CAA" w:rsidRPr="00391F08" w:rsidRDefault="00222CAA" w:rsidP="0096187D">
            <w:pPr>
              <w:spacing w:after="0"/>
              <w:rPr>
                <w:rFonts w:ascii="Garamond" w:hAnsi="Garamond" w:cs="Arial"/>
                <w:sz w:val="20"/>
                <w:szCs w:val="20"/>
              </w:rPr>
            </w:pPr>
          </w:p>
        </w:tc>
        <w:tc>
          <w:tcPr>
            <w:tcW w:w="0" w:type="auto"/>
            <w:vMerge/>
          </w:tcPr>
          <w:p w14:paraId="7DDA69AF"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3F156BD0" w14:textId="77777777" w:rsidR="00222CAA" w:rsidRPr="00391F08" w:rsidRDefault="00222CAA" w:rsidP="0096187D">
            <w:pPr>
              <w:spacing w:after="0"/>
              <w:rPr>
                <w:rFonts w:ascii="Garamond" w:hAnsi="Garamond" w:cs="Arial"/>
                <w:sz w:val="20"/>
                <w:szCs w:val="20"/>
              </w:rPr>
            </w:pPr>
          </w:p>
        </w:tc>
      </w:tr>
      <w:tr w:rsidR="00222CAA" w:rsidRPr="00391F08" w14:paraId="438EC4E4" w14:textId="77777777" w:rsidTr="0096187D">
        <w:tc>
          <w:tcPr>
            <w:tcW w:w="0" w:type="auto"/>
            <w:vMerge/>
            <w:tcBorders>
              <w:left w:val="nil"/>
            </w:tcBorders>
            <w:vAlign w:val="center"/>
          </w:tcPr>
          <w:p w14:paraId="31ECBAF8" w14:textId="77777777" w:rsidR="00222CAA" w:rsidRPr="00391F08" w:rsidRDefault="00222CAA" w:rsidP="0096187D">
            <w:pPr>
              <w:spacing w:after="0"/>
              <w:rPr>
                <w:rFonts w:ascii="Garamond" w:hAnsi="Garamond" w:cs="Arial"/>
                <w:sz w:val="20"/>
                <w:szCs w:val="20"/>
              </w:rPr>
            </w:pPr>
          </w:p>
        </w:tc>
        <w:tc>
          <w:tcPr>
            <w:tcW w:w="0" w:type="auto"/>
            <w:vAlign w:val="center"/>
          </w:tcPr>
          <w:p w14:paraId="61CD7AA8"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CC3</w:t>
            </w:r>
          </w:p>
        </w:tc>
        <w:tc>
          <w:tcPr>
            <w:tcW w:w="0" w:type="auto"/>
          </w:tcPr>
          <w:p w14:paraId="22E77293"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Se eu pudesse fazer tudo de novo, não escolheria trabalhar na minha atual profissão. (R)</w:t>
            </w:r>
          </w:p>
        </w:tc>
        <w:tc>
          <w:tcPr>
            <w:tcW w:w="0" w:type="auto"/>
            <w:vAlign w:val="center"/>
          </w:tcPr>
          <w:p w14:paraId="24232854"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0,655</w:t>
            </w:r>
          </w:p>
        </w:tc>
        <w:tc>
          <w:tcPr>
            <w:tcW w:w="0" w:type="auto"/>
            <w:vMerge/>
          </w:tcPr>
          <w:p w14:paraId="73CED775" w14:textId="77777777" w:rsidR="00222CAA" w:rsidRPr="00391F08" w:rsidRDefault="00222CAA" w:rsidP="0096187D">
            <w:pPr>
              <w:spacing w:after="0"/>
              <w:rPr>
                <w:rFonts w:ascii="Garamond" w:hAnsi="Garamond" w:cs="Arial"/>
                <w:sz w:val="20"/>
                <w:szCs w:val="20"/>
              </w:rPr>
            </w:pPr>
          </w:p>
        </w:tc>
        <w:tc>
          <w:tcPr>
            <w:tcW w:w="0" w:type="auto"/>
            <w:vMerge/>
          </w:tcPr>
          <w:p w14:paraId="612CA581" w14:textId="77777777" w:rsidR="00222CAA" w:rsidRPr="00391F08" w:rsidRDefault="00222CAA" w:rsidP="0096187D">
            <w:pPr>
              <w:spacing w:after="0"/>
              <w:rPr>
                <w:rFonts w:ascii="Garamond" w:hAnsi="Garamond" w:cs="Arial"/>
                <w:sz w:val="20"/>
                <w:szCs w:val="20"/>
              </w:rPr>
            </w:pPr>
          </w:p>
        </w:tc>
        <w:tc>
          <w:tcPr>
            <w:tcW w:w="0" w:type="auto"/>
            <w:vMerge/>
          </w:tcPr>
          <w:p w14:paraId="08D62567"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1A65843C" w14:textId="77777777" w:rsidR="00222CAA" w:rsidRPr="00391F08" w:rsidRDefault="00222CAA" w:rsidP="0096187D">
            <w:pPr>
              <w:spacing w:after="0"/>
              <w:rPr>
                <w:rFonts w:ascii="Garamond" w:hAnsi="Garamond" w:cs="Arial"/>
                <w:sz w:val="20"/>
                <w:szCs w:val="20"/>
              </w:rPr>
            </w:pPr>
          </w:p>
        </w:tc>
      </w:tr>
      <w:tr w:rsidR="00222CAA" w:rsidRPr="00391F08" w14:paraId="1DBBA88E" w14:textId="77777777" w:rsidTr="0096187D">
        <w:tc>
          <w:tcPr>
            <w:tcW w:w="0" w:type="auto"/>
            <w:vMerge/>
            <w:tcBorders>
              <w:left w:val="nil"/>
            </w:tcBorders>
            <w:vAlign w:val="center"/>
          </w:tcPr>
          <w:p w14:paraId="57244986" w14:textId="77777777" w:rsidR="00222CAA" w:rsidRPr="00391F08" w:rsidRDefault="00222CAA" w:rsidP="0096187D">
            <w:pPr>
              <w:spacing w:after="0"/>
              <w:rPr>
                <w:rFonts w:ascii="Garamond" w:hAnsi="Garamond" w:cs="Arial"/>
                <w:sz w:val="20"/>
                <w:szCs w:val="20"/>
              </w:rPr>
            </w:pPr>
          </w:p>
        </w:tc>
        <w:tc>
          <w:tcPr>
            <w:tcW w:w="0" w:type="auto"/>
            <w:vAlign w:val="center"/>
          </w:tcPr>
          <w:p w14:paraId="26258CB2"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CC4</w:t>
            </w:r>
          </w:p>
        </w:tc>
        <w:tc>
          <w:tcPr>
            <w:tcW w:w="0" w:type="auto"/>
          </w:tcPr>
          <w:p w14:paraId="09935B8A"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 xml:space="preserve">Se eu tivesse todo o dinheiro que precisasse </w:t>
            </w:r>
            <w:r w:rsidRPr="00391F08">
              <w:rPr>
                <w:rFonts w:ascii="Garamond" w:hAnsi="Garamond" w:cs="Arial"/>
                <w:sz w:val="20"/>
                <w:szCs w:val="20"/>
              </w:rPr>
              <w:lastRenderedPageBreak/>
              <w:t>sem trabalhar, provavelmente continuaria trabalhando na minha atual profissão.</w:t>
            </w:r>
          </w:p>
        </w:tc>
        <w:tc>
          <w:tcPr>
            <w:tcW w:w="0" w:type="auto"/>
            <w:vAlign w:val="center"/>
          </w:tcPr>
          <w:p w14:paraId="752B6C8F"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lastRenderedPageBreak/>
              <w:t>0,732</w:t>
            </w:r>
          </w:p>
        </w:tc>
        <w:tc>
          <w:tcPr>
            <w:tcW w:w="0" w:type="auto"/>
            <w:vMerge/>
          </w:tcPr>
          <w:p w14:paraId="1DF0A954" w14:textId="77777777" w:rsidR="00222CAA" w:rsidRPr="00391F08" w:rsidRDefault="00222CAA" w:rsidP="0096187D">
            <w:pPr>
              <w:spacing w:after="0"/>
              <w:rPr>
                <w:rFonts w:ascii="Garamond" w:hAnsi="Garamond" w:cs="Arial"/>
                <w:sz w:val="20"/>
                <w:szCs w:val="20"/>
              </w:rPr>
            </w:pPr>
          </w:p>
        </w:tc>
        <w:tc>
          <w:tcPr>
            <w:tcW w:w="0" w:type="auto"/>
            <w:vMerge/>
          </w:tcPr>
          <w:p w14:paraId="349CCD43" w14:textId="77777777" w:rsidR="00222CAA" w:rsidRPr="00391F08" w:rsidRDefault="00222CAA" w:rsidP="0096187D">
            <w:pPr>
              <w:spacing w:after="0"/>
              <w:rPr>
                <w:rFonts w:ascii="Garamond" w:hAnsi="Garamond" w:cs="Arial"/>
                <w:sz w:val="20"/>
                <w:szCs w:val="20"/>
              </w:rPr>
            </w:pPr>
          </w:p>
        </w:tc>
        <w:tc>
          <w:tcPr>
            <w:tcW w:w="0" w:type="auto"/>
            <w:vMerge/>
          </w:tcPr>
          <w:p w14:paraId="7E7B63B2"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5EAC9421" w14:textId="77777777" w:rsidR="00222CAA" w:rsidRPr="00391F08" w:rsidRDefault="00222CAA" w:rsidP="0096187D">
            <w:pPr>
              <w:spacing w:after="0"/>
              <w:rPr>
                <w:rFonts w:ascii="Garamond" w:hAnsi="Garamond" w:cs="Arial"/>
                <w:sz w:val="20"/>
                <w:szCs w:val="20"/>
              </w:rPr>
            </w:pPr>
          </w:p>
        </w:tc>
      </w:tr>
      <w:tr w:rsidR="00222CAA" w:rsidRPr="00391F08" w14:paraId="0A8B0415" w14:textId="77777777" w:rsidTr="0096187D">
        <w:tc>
          <w:tcPr>
            <w:tcW w:w="0" w:type="auto"/>
            <w:vMerge/>
            <w:tcBorders>
              <w:left w:val="nil"/>
            </w:tcBorders>
            <w:vAlign w:val="center"/>
          </w:tcPr>
          <w:p w14:paraId="433E1F03" w14:textId="77777777" w:rsidR="00222CAA" w:rsidRPr="00391F08" w:rsidRDefault="00222CAA" w:rsidP="0096187D">
            <w:pPr>
              <w:spacing w:after="0"/>
              <w:rPr>
                <w:rFonts w:ascii="Garamond" w:hAnsi="Garamond" w:cs="Arial"/>
                <w:sz w:val="20"/>
                <w:szCs w:val="20"/>
              </w:rPr>
            </w:pPr>
          </w:p>
        </w:tc>
        <w:tc>
          <w:tcPr>
            <w:tcW w:w="0" w:type="auto"/>
            <w:vAlign w:val="center"/>
          </w:tcPr>
          <w:p w14:paraId="41387E3F"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CC5</w:t>
            </w:r>
          </w:p>
        </w:tc>
        <w:tc>
          <w:tcPr>
            <w:tcW w:w="0" w:type="auto"/>
          </w:tcPr>
          <w:p w14:paraId="2F500DA8"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Eu gosto muito dessa vocação para desistir.</w:t>
            </w:r>
          </w:p>
        </w:tc>
        <w:tc>
          <w:tcPr>
            <w:tcW w:w="0" w:type="auto"/>
            <w:vAlign w:val="center"/>
          </w:tcPr>
          <w:p w14:paraId="2D28A68C"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0,724</w:t>
            </w:r>
          </w:p>
        </w:tc>
        <w:tc>
          <w:tcPr>
            <w:tcW w:w="0" w:type="auto"/>
            <w:vMerge/>
          </w:tcPr>
          <w:p w14:paraId="0B8A0B66" w14:textId="77777777" w:rsidR="00222CAA" w:rsidRPr="00391F08" w:rsidRDefault="00222CAA" w:rsidP="0096187D">
            <w:pPr>
              <w:spacing w:after="0"/>
              <w:rPr>
                <w:rFonts w:ascii="Garamond" w:hAnsi="Garamond" w:cs="Arial"/>
                <w:sz w:val="20"/>
                <w:szCs w:val="20"/>
              </w:rPr>
            </w:pPr>
          </w:p>
        </w:tc>
        <w:tc>
          <w:tcPr>
            <w:tcW w:w="0" w:type="auto"/>
            <w:vMerge/>
          </w:tcPr>
          <w:p w14:paraId="49E406EB" w14:textId="77777777" w:rsidR="00222CAA" w:rsidRPr="00391F08" w:rsidRDefault="00222CAA" w:rsidP="0096187D">
            <w:pPr>
              <w:spacing w:after="0"/>
              <w:rPr>
                <w:rFonts w:ascii="Garamond" w:hAnsi="Garamond" w:cs="Arial"/>
                <w:sz w:val="20"/>
                <w:szCs w:val="20"/>
              </w:rPr>
            </w:pPr>
          </w:p>
        </w:tc>
        <w:tc>
          <w:tcPr>
            <w:tcW w:w="0" w:type="auto"/>
            <w:vMerge/>
          </w:tcPr>
          <w:p w14:paraId="4BEA4E6C"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76CF5208" w14:textId="77777777" w:rsidR="00222CAA" w:rsidRPr="00391F08" w:rsidRDefault="00222CAA" w:rsidP="0096187D">
            <w:pPr>
              <w:spacing w:after="0"/>
              <w:rPr>
                <w:rFonts w:ascii="Garamond" w:hAnsi="Garamond" w:cs="Arial"/>
                <w:sz w:val="20"/>
                <w:szCs w:val="20"/>
              </w:rPr>
            </w:pPr>
          </w:p>
        </w:tc>
      </w:tr>
      <w:tr w:rsidR="00222CAA" w:rsidRPr="00391F08" w14:paraId="5251D38F" w14:textId="77777777" w:rsidTr="0096187D">
        <w:tc>
          <w:tcPr>
            <w:tcW w:w="0" w:type="auto"/>
            <w:vMerge/>
            <w:tcBorders>
              <w:left w:val="nil"/>
            </w:tcBorders>
            <w:vAlign w:val="center"/>
          </w:tcPr>
          <w:p w14:paraId="122840D2" w14:textId="77777777" w:rsidR="00222CAA" w:rsidRPr="00391F08" w:rsidRDefault="00222CAA" w:rsidP="0096187D">
            <w:pPr>
              <w:spacing w:after="0"/>
              <w:rPr>
                <w:rFonts w:ascii="Garamond" w:hAnsi="Garamond" w:cs="Arial"/>
                <w:sz w:val="20"/>
                <w:szCs w:val="20"/>
              </w:rPr>
            </w:pPr>
          </w:p>
        </w:tc>
        <w:tc>
          <w:tcPr>
            <w:tcW w:w="0" w:type="auto"/>
            <w:vAlign w:val="center"/>
          </w:tcPr>
          <w:p w14:paraId="2D4B6BB1"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CC6</w:t>
            </w:r>
          </w:p>
        </w:tc>
        <w:tc>
          <w:tcPr>
            <w:tcW w:w="0" w:type="auto"/>
          </w:tcPr>
          <w:p w14:paraId="416F3001"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Esta é a vocação ideal para uma obra de vida.</w:t>
            </w:r>
          </w:p>
        </w:tc>
        <w:tc>
          <w:tcPr>
            <w:tcW w:w="0" w:type="auto"/>
            <w:vAlign w:val="center"/>
          </w:tcPr>
          <w:p w14:paraId="619173DF"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0,827</w:t>
            </w:r>
          </w:p>
        </w:tc>
        <w:tc>
          <w:tcPr>
            <w:tcW w:w="0" w:type="auto"/>
            <w:vMerge/>
          </w:tcPr>
          <w:p w14:paraId="2417263A" w14:textId="77777777" w:rsidR="00222CAA" w:rsidRPr="00391F08" w:rsidRDefault="00222CAA" w:rsidP="0096187D">
            <w:pPr>
              <w:spacing w:after="0"/>
              <w:rPr>
                <w:rFonts w:ascii="Garamond" w:hAnsi="Garamond" w:cs="Arial"/>
                <w:sz w:val="20"/>
                <w:szCs w:val="20"/>
              </w:rPr>
            </w:pPr>
          </w:p>
        </w:tc>
        <w:tc>
          <w:tcPr>
            <w:tcW w:w="0" w:type="auto"/>
            <w:vMerge/>
          </w:tcPr>
          <w:p w14:paraId="27224E59" w14:textId="77777777" w:rsidR="00222CAA" w:rsidRPr="00391F08" w:rsidRDefault="00222CAA" w:rsidP="0096187D">
            <w:pPr>
              <w:spacing w:after="0"/>
              <w:rPr>
                <w:rFonts w:ascii="Garamond" w:hAnsi="Garamond" w:cs="Arial"/>
                <w:sz w:val="20"/>
                <w:szCs w:val="20"/>
              </w:rPr>
            </w:pPr>
          </w:p>
        </w:tc>
        <w:tc>
          <w:tcPr>
            <w:tcW w:w="0" w:type="auto"/>
            <w:vMerge/>
          </w:tcPr>
          <w:p w14:paraId="6A24668D"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117F0E3C" w14:textId="77777777" w:rsidR="00222CAA" w:rsidRPr="00391F08" w:rsidRDefault="00222CAA" w:rsidP="0096187D">
            <w:pPr>
              <w:spacing w:after="0"/>
              <w:rPr>
                <w:rFonts w:ascii="Garamond" w:hAnsi="Garamond" w:cs="Arial"/>
                <w:sz w:val="20"/>
                <w:szCs w:val="20"/>
              </w:rPr>
            </w:pPr>
          </w:p>
        </w:tc>
      </w:tr>
      <w:tr w:rsidR="00222CAA" w:rsidRPr="00391F08" w14:paraId="08500732" w14:textId="77777777" w:rsidTr="0096187D">
        <w:tc>
          <w:tcPr>
            <w:tcW w:w="0" w:type="auto"/>
            <w:vMerge/>
            <w:tcBorders>
              <w:left w:val="nil"/>
            </w:tcBorders>
            <w:vAlign w:val="center"/>
          </w:tcPr>
          <w:p w14:paraId="282E04E5" w14:textId="77777777" w:rsidR="00222CAA" w:rsidRPr="00391F08" w:rsidRDefault="00222CAA" w:rsidP="0096187D">
            <w:pPr>
              <w:spacing w:after="0"/>
              <w:rPr>
                <w:rFonts w:ascii="Garamond" w:hAnsi="Garamond" w:cs="Arial"/>
                <w:sz w:val="20"/>
                <w:szCs w:val="20"/>
              </w:rPr>
            </w:pPr>
          </w:p>
        </w:tc>
        <w:tc>
          <w:tcPr>
            <w:tcW w:w="0" w:type="auto"/>
            <w:vAlign w:val="center"/>
          </w:tcPr>
          <w:p w14:paraId="087E86E8"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CC7</w:t>
            </w:r>
          </w:p>
        </w:tc>
        <w:tc>
          <w:tcPr>
            <w:tcW w:w="0" w:type="auto"/>
          </w:tcPr>
          <w:p w14:paraId="790A3138"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Estou decepcionado por ter entrado na atual profissão. (R)</w:t>
            </w:r>
          </w:p>
        </w:tc>
        <w:tc>
          <w:tcPr>
            <w:tcW w:w="0" w:type="auto"/>
            <w:vAlign w:val="center"/>
          </w:tcPr>
          <w:p w14:paraId="170F215D"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0,647</w:t>
            </w:r>
          </w:p>
        </w:tc>
        <w:tc>
          <w:tcPr>
            <w:tcW w:w="0" w:type="auto"/>
            <w:vMerge/>
          </w:tcPr>
          <w:p w14:paraId="3A7FB58B" w14:textId="77777777" w:rsidR="00222CAA" w:rsidRPr="00391F08" w:rsidRDefault="00222CAA" w:rsidP="0096187D">
            <w:pPr>
              <w:spacing w:after="0"/>
              <w:rPr>
                <w:rFonts w:ascii="Garamond" w:hAnsi="Garamond" w:cs="Arial"/>
                <w:sz w:val="20"/>
                <w:szCs w:val="20"/>
              </w:rPr>
            </w:pPr>
          </w:p>
        </w:tc>
        <w:tc>
          <w:tcPr>
            <w:tcW w:w="0" w:type="auto"/>
            <w:vMerge/>
          </w:tcPr>
          <w:p w14:paraId="50645748" w14:textId="77777777" w:rsidR="00222CAA" w:rsidRPr="00391F08" w:rsidRDefault="00222CAA" w:rsidP="0096187D">
            <w:pPr>
              <w:spacing w:after="0"/>
              <w:rPr>
                <w:rFonts w:ascii="Garamond" w:hAnsi="Garamond" w:cs="Arial"/>
                <w:sz w:val="20"/>
                <w:szCs w:val="20"/>
              </w:rPr>
            </w:pPr>
          </w:p>
        </w:tc>
        <w:tc>
          <w:tcPr>
            <w:tcW w:w="0" w:type="auto"/>
            <w:vMerge/>
          </w:tcPr>
          <w:p w14:paraId="3475516E"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13C1AE7F" w14:textId="77777777" w:rsidR="00222CAA" w:rsidRPr="00391F08" w:rsidRDefault="00222CAA" w:rsidP="0096187D">
            <w:pPr>
              <w:spacing w:after="0"/>
              <w:rPr>
                <w:rFonts w:ascii="Garamond" w:hAnsi="Garamond" w:cs="Arial"/>
                <w:sz w:val="20"/>
                <w:szCs w:val="20"/>
              </w:rPr>
            </w:pPr>
          </w:p>
        </w:tc>
      </w:tr>
      <w:tr w:rsidR="00222CAA" w:rsidRPr="00391F08" w14:paraId="5D826BCF" w14:textId="77777777" w:rsidTr="0096187D">
        <w:tc>
          <w:tcPr>
            <w:tcW w:w="0" w:type="auto"/>
            <w:vMerge/>
            <w:tcBorders>
              <w:left w:val="nil"/>
            </w:tcBorders>
            <w:vAlign w:val="center"/>
          </w:tcPr>
          <w:p w14:paraId="0130C077" w14:textId="77777777" w:rsidR="00222CAA" w:rsidRPr="00391F08" w:rsidRDefault="00222CAA" w:rsidP="0096187D">
            <w:pPr>
              <w:spacing w:after="0"/>
              <w:rPr>
                <w:rFonts w:ascii="Garamond" w:hAnsi="Garamond" w:cs="Arial"/>
                <w:sz w:val="20"/>
                <w:szCs w:val="20"/>
              </w:rPr>
            </w:pPr>
          </w:p>
        </w:tc>
        <w:tc>
          <w:tcPr>
            <w:tcW w:w="0" w:type="auto"/>
            <w:vAlign w:val="center"/>
          </w:tcPr>
          <w:p w14:paraId="46544AA7" w14:textId="77777777" w:rsidR="00222CAA" w:rsidRPr="00391F08" w:rsidRDefault="00222CAA" w:rsidP="0096187D">
            <w:pPr>
              <w:spacing w:after="0"/>
              <w:jc w:val="center"/>
              <w:rPr>
                <w:rFonts w:ascii="Garamond" w:hAnsi="Garamond" w:cs="Arial"/>
                <w:sz w:val="20"/>
                <w:szCs w:val="20"/>
              </w:rPr>
            </w:pPr>
            <w:r w:rsidRPr="00391F08">
              <w:rPr>
                <w:rFonts w:ascii="Garamond" w:hAnsi="Garamond" w:cs="Arial"/>
                <w:sz w:val="20"/>
                <w:szCs w:val="20"/>
              </w:rPr>
              <w:t>CC8</w:t>
            </w:r>
          </w:p>
        </w:tc>
        <w:tc>
          <w:tcPr>
            <w:tcW w:w="0" w:type="auto"/>
          </w:tcPr>
          <w:p w14:paraId="2AC0D611"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Eu gasto uma quantidade significativa de tempo pessoal lendo jornais ou livros relacionados à minha atual profissão.</w:t>
            </w:r>
          </w:p>
        </w:tc>
        <w:tc>
          <w:tcPr>
            <w:tcW w:w="0" w:type="auto"/>
          </w:tcPr>
          <w:p w14:paraId="42E1109C" w14:textId="77777777" w:rsidR="00222CAA" w:rsidRPr="00391F08" w:rsidRDefault="00222CAA" w:rsidP="0096187D">
            <w:pPr>
              <w:spacing w:after="0"/>
              <w:rPr>
                <w:rFonts w:ascii="Garamond" w:hAnsi="Garamond" w:cs="Arial"/>
                <w:sz w:val="20"/>
                <w:szCs w:val="20"/>
              </w:rPr>
            </w:pPr>
            <w:r w:rsidRPr="00391F08">
              <w:rPr>
                <w:rFonts w:ascii="Garamond" w:hAnsi="Garamond" w:cs="Arial"/>
                <w:sz w:val="20"/>
                <w:szCs w:val="20"/>
              </w:rPr>
              <w:t>Excluída</w:t>
            </w:r>
          </w:p>
        </w:tc>
        <w:tc>
          <w:tcPr>
            <w:tcW w:w="0" w:type="auto"/>
            <w:vMerge/>
          </w:tcPr>
          <w:p w14:paraId="4F47009F" w14:textId="77777777" w:rsidR="00222CAA" w:rsidRPr="00391F08" w:rsidRDefault="00222CAA" w:rsidP="0096187D">
            <w:pPr>
              <w:spacing w:after="0"/>
              <w:rPr>
                <w:rFonts w:ascii="Garamond" w:hAnsi="Garamond" w:cs="Arial"/>
                <w:sz w:val="20"/>
                <w:szCs w:val="20"/>
              </w:rPr>
            </w:pPr>
          </w:p>
        </w:tc>
        <w:tc>
          <w:tcPr>
            <w:tcW w:w="0" w:type="auto"/>
            <w:vMerge/>
          </w:tcPr>
          <w:p w14:paraId="71EFA654" w14:textId="77777777" w:rsidR="00222CAA" w:rsidRPr="00391F08" w:rsidRDefault="00222CAA" w:rsidP="0096187D">
            <w:pPr>
              <w:spacing w:after="0"/>
              <w:rPr>
                <w:rFonts w:ascii="Garamond" w:hAnsi="Garamond" w:cs="Arial"/>
                <w:sz w:val="20"/>
                <w:szCs w:val="20"/>
              </w:rPr>
            </w:pPr>
          </w:p>
        </w:tc>
        <w:tc>
          <w:tcPr>
            <w:tcW w:w="0" w:type="auto"/>
            <w:vMerge/>
          </w:tcPr>
          <w:p w14:paraId="11CCEB2A" w14:textId="77777777" w:rsidR="00222CAA" w:rsidRPr="00391F08" w:rsidRDefault="00222CAA" w:rsidP="0096187D">
            <w:pPr>
              <w:spacing w:after="0"/>
              <w:rPr>
                <w:rFonts w:ascii="Garamond" w:hAnsi="Garamond" w:cs="Arial"/>
                <w:sz w:val="20"/>
                <w:szCs w:val="20"/>
              </w:rPr>
            </w:pPr>
          </w:p>
        </w:tc>
        <w:tc>
          <w:tcPr>
            <w:tcW w:w="0" w:type="auto"/>
            <w:vMerge/>
            <w:tcBorders>
              <w:right w:val="nil"/>
            </w:tcBorders>
          </w:tcPr>
          <w:p w14:paraId="7D666D77" w14:textId="77777777" w:rsidR="00222CAA" w:rsidRPr="00391F08" w:rsidRDefault="00222CAA" w:rsidP="0096187D">
            <w:pPr>
              <w:spacing w:after="0"/>
              <w:rPr>
                <w:rFonts w:ascii="Garamond" w:hAnsi="Garamond" w:cs="Arial"/>
                <w:sz w:val="20"/>
                <w:szCs w:val="20"/>
              </w:rPr>
            </w:pPr>
          </w:p>
        </w:tc>
      </w:tr>
    </w:tbl>
    <w:p w14:paraId="45F6AF6C" w14:textId="038DBB63" w:rsidR="004967BE" w:rsidRPr="009D060C" w:rsidRDefault="009D060C" w:rsidP="00D82440">
      <w:pPr>
        <w:autoSpaceDE w:val="0"/>
        <w:autoSpaceDN w:val="0"/>
        <w:adjustRightInd w:val="0"/>
        <w:jc w:val="both"/>
        <w:rPr>
          <w:rFonts w:ascii="Garamond" w:eastAsia="Times New Roman" w:hAnsi="Garamond"/>
          <w:sz w:val="20"/>
          <w:szCs w:val="20"/>
          <w:lang w:eastAsia="pt-BR"/>
        </w:rPr>
      </w:pPr>
      <w:r w:rsidRPr="009D060C">
        <w:rPr>
          <w:rFonts w:ascii="Garamond" w:eastAsia="Times New Roman" w:hAnsi="Garamond"/>
          <w:b/>
          <w:bCs/>
          <w:sz w:val="20"/>
          <w:szCs w:val="20"/>
          <w:lang w:eastAsia="pt-BR"/>
        </w:rPr>
        <w:t>Fonte</w:t>
      </w:r>
      <w:r w:rsidRPr="009D060C">
        <w:rPr>
          <w:rFonts w:ascii="Garamond" w:eastAsia="Times New Roman" w:hAnsi="Garamond"/>
          <w:sz w:val="20"/>
          <w:szCs w:val="20"/>
          <w:lang w:eastAsia="pt-BR"/>
        </w:rPr>
        <w:t>: Dados da pesquisa</w:t>
      </w:r>
    </w:p>
    <w:p w14:paraId="4B7431F1" w14:textId="77777777" w:rsidR="002F0571" w:rsidRDefault="002F0571" w:rsidP="009F6351">
      <w:pPr>
        <w:autoSpaceDE w:val="0"/>
        <w:autoSpaceDN w:val="0"/>
        <w:adjustRightInd w:val="0"/>
        <w:jc w:val="both"/>
        <w:rPr>
          <w:rFonts w:ascii="Garamond" w:eastAsia="Times New Roman" w:hAnsi="Garamond"/>
          <w:lang w:eastAsia="pt-BR"/>
        </w:rPr>
      </w:pPr>
      <w:r w:rsidRPr="002F0571">
        <w:rPr>
          <w:rFonts w:ascii="Garamond" w:eastAsia="Times New Roman" w:hAnsi="Garamond"/>
          <w:lang w:eastAsia="pt-BR"/>
        </w:rPr>
        <w:t>Para avaliar a validade discriminante, que tem como objetivo verificar se os construtos são independentes (</w:t>
      </w:r>
      <w:proofErr w:type="spellStart"/>
      <w:r w:rsidRPr="002F0571">
        <w:rPr>
          <w:rFonts w:ascii="Garamond" w:eastAsia="Times New Roman" w:hAnsi="Garamond"/>
          <w:lang w:eastAsia="pt-BR"/>
        </w:rPr>
        <w:t>Bido</w:t>
      </w:r>
      <w:proofErr w:type="spellEnd"/>
      <w:r w:rsidRPr="002F0571">
        <w:rPr>
          <w:rFonts w:ascii="Garamond" w:eastAsia="Times New Roman" w:hAnsi="Garamond"/>
          <w:lang w:eastAsia="pt-BR"/>
        </w:rPr>
        <w:t xml:space="preserve"> &amp; Silva, 2019), foram observados os critérios de cargas cruzadas, critério de </w:t>
      </w:r>
      <w:proofErr w:type="spellStart"/>
      <w:r w:rsidRPr="002F0571">
        <w:rPr>
          <w:rFonts w:ascii="Garamond" w:eastAsia="Times New Roman" w:hAnsi="Garamond"/>
          <w:lang w:eastAsia="pt-BR"/>
        </w:rPr>
        <w:t>Fornell</w:t>
      </w:r>
      <w:proofErr w:type="spellEnd"/>
      <w:r w:rsidRPr="002F0571">
        <w:rPr>
          <w:rFonts w:ascii="Garamond" w:eastAsia="Times New Roman" w:hAnsi="Garamond"/>
          <w:lang w:eastAsia="pt-BR"/>
        </w:rPr>
        <w:t xml:space="preserve"> e Lacker (1981) e o </w:t>
      </w:r>
      <w:proofErr w:type="spellStart"/>
      <w:r w:rsidRPr="002F0571">
        <w:rPr>
          <w:rFonts w:ascii="Garamond" w:eastAsia="Times New Roman" w:hAnsi="Garamond"/>
          <w:i/>
          <w:iCs/>
          <w:lang w:eastAsia="pt-BR"/>
        </w:rPr>
        <w:t>Heterotrait-monotrait</w:t>
      </w:r>
      <w:proofErr w:type="spellEnd"/>
      <w:r w:rsidRPr="002F0571">
        <w:rPr>
          <w:rFonts w:ascii="Garamond" w:eastAsia="Times New Roman" w:hAnsi="Garamond"/>
          <w:i/>
          <w:iCs/>
          <w:lang w:eastAsia="pt-BR"/>
        </w:rPr>
        <w:t xml:space="preserve"> </w:t>
      </w:r>
      <w:proofErr w:type="spellStart"/>
      <w:r w:rsidRPr="002F0571">
        <w:rPr>
          <w:rFonts w:ascii="Garamond" w:eastAsia="Times New Roman" w:hAnsi="Garamond"/>
          <w:i/>
          <w:iCs/>
          <w:lang w:eastAsia="pt-BR"/>
        </w:rPr>
        <w:t>Ratio</w:t>
      </w:r>
      <w:proofErr w:type="spellEnd"/>
      <w:r w:rsidRPr="002F0571">
        <w:rPr>
          <w:rFonts w:ascii="Garamond" w:eastAsia="Times New Roman" w:hAnsi="Garamond"/>
          <w:i/>
          <w:iCs/>
          <w:lang w:eastAsia="pt-BR"/>
        </w:rPr>
        <w:t xml:space="preserve"> </w:t>
      </w:r>
      <w:r w:rsidRPr="002F0571">
        <w:rPr>
          <w:rFonts w:ascii="Garamond" w:eastAsia="Times New Roman" w:hAnsi="Garamond"/>
          <w:lang w:eastAsia="pt-BR"/>
        </w:rPr>
        <w:t>(HTMT). Para validar o critério de cargas cruzadas, as cargas fatoriais das variáveis em seus respectivos construtos devem ser maiores que as demais (Ali et al., 2018). Verificou-se ao rodar os dados, que as cargas fatoriais apresentaram valores maiores em seus respectivos construtos, logo este critério foi atendido, conforme pode ser verificado na tabela 2.</w:t>
      </w:r>
    </w:p>
    <w:p w14:paraId="094D7CAD" w14:textId="57DECC5B" w:rsidR="00083549" w:rsidRPr="00893A90" w:rsidRDefault="00893A90" w:rsidP="009F6351">
      <w:pPr>
        <w:autoSpaceDE w:val="0"/>
        <w:autoSpaceDN w:val="0"/>
        <w:adjustRightInd w:val="0"/>
        <w:jc w:val="both"/>
        <w:rPr>
          <w:rFonts w:ascii="Garamond" w:eastAsia="Times New Roman" w:hAnsi="Garamond"/>
          <w:sz w:val="20"/>
          <w:szCs w:val="20"/>
          <w:lang w:eastAsia="pt-BR"/>
        </w:rPr>
      </w:pPr>
      <w:r w:rsidRPr="00893A90">
        <w:rPr>
          <w:rFonts w:ascii="Garamond" w:eastAsia="Times New Roman" w:hAnsi="Garamond"/>
          <w:b/>
          <w:bCs/>
          <w:sz w:val="20"/>
          <w:szCs w:val="20"/>
          <w:lang w:eastAsia="pt-BR"/>
        </w:rPr>
        <w:t>Tabela 2</w:t>
      </w:r>
      <w:r w:rsidR="00AF7DE9">
        <w:rPr>
          <w:rFonts w:ascii="Garamond" w:eastAsia="Times New Roman" w:hAnsi="Garamond"/>
          <w:sz w:val="20"/>
          <w:szCs w:val="20"/>
          <w:lang w:eastAsia="pt-BR"/>
        </w:rPr>
        <w:t>.</w:t>
      </w:r>
      <w:r w:rsidRPr="00893A90">
        <w:rPr>
          <w:rFonts w:ascii="Garamond" w:eastAsia="Times New Roman" w:hAnsi="Garamond"/>
          <w:sz w:val="20"/>
          <w:szCs w:val="20"/>
          <w:lang w:eastAsia="pt-BR"/>
        </w:rPr>
        <w:t xml:space="preserve"> </w:t>
      </w:r>
      <w:r>
        <w:rPr>
          <w:rFonts w:ascii="Garamond" w:eastAsia="Times New Roman" w:hAnsi="Garamond"/>
          <w:sz w:val="20"/>
          <w:szCs w:val="20"/>
          <w:lang w:eastAsia="pt-BR"/>
        </w:rPr>
        <w:t>V</w:t>
      </w:r>
      <w:r w:rsidRPr="00893A90">
        <w:rPr>
          <w:rFonts w:ascii="Garamond" w:eastAsia="Times New Roman" w:hAnsi="Garamond"/>
          <w:sz w:val="20"/>
          <w:szCs w:val="20"/>
          <w:lang w:eastAsia="pt-BR"/>
        </w:rPr>
        <w:t xml:space="preserve">alidade </w:t>
      </w:r>
      <w:r w:rsidR="00E20E0D">
        <w:rPr>
          <w:rFonts w:ascii="Garamond" w:eastAsia="Times New Roman" w:hAnsi="Garamond"/>
          <w:sz w:val="20"/>
          <w:szCs w:val="20"/>
          <w:lang w:eastAsia="pt-BR"/>
        </w:rPr>
        <w:t>d</w:t>
      </w:r>
      <w:r w:rsidRPr="00893A90">
        <w:rPr>
          <w:rFonts w:ascii="Garamond" w:eastAsia="Times New Roman" w:hAnsi="Garamond"/>
          <w:sz w:val="20"/>
          <w:szCs w:val="20"/>
          <w:lang w:eastAsia="pt-BR"/>
        </w:rPr>
        <w:t xml:space="preserve">iscriminante por </w:t>
      </w:r>
      <w:r w:rsidR="00E20E0D">
        <w:rPr>
          <w:rFonts w:ascii="Garamond" w:eastAsia="Times New Roman" w:hAnsi="Garamond"/>
          <w:sz w:val="20"/>
          <w:szCs w:val="20"/>
          <w:lang w:eastAsia="pt-BR"/>
        </w:rPr>
        <w:t>c</w:t>
      </w:r>
      <w:r w:rsidRPr="00893A90">
        <w:rPr>
          <w:rFonts w:ascii="Garamond" w:eastAsia="Times New Roman" w:hAnsi="Garamond"/>
          <w:sz w:val="20"/>
          <w:szCs w:val="20"/>
          <w:lang w:eastAsia="pt-BR"/>
        </w:rPr>
        <w:t xml:space="preserve">argas </w:t>
      </w:r>
      <w:r w:rsidR="00E20E0D">
        <w:rPr>
          <w:rFonts w:ascii="Garamond" w:eastAsia="Times New Roman" w:hAnsi="Garamond"/>
          <w:sz w:val="20"/>
          <w:szCs w:val="20"/>
          <w:lang w:eastAsia="pt-BR"/>
        </w:rPr>
        <w:t>c</w:t>
      </w:r>
      <w:r w:rsidRPr="00893A90">
        <w:rPr>
          <w:rFonts w:ascii="Garamond" w:eastAsia="Times New Roman" w:hAnsi="Garamond"/>
          <w:sz w:val="20"/>
          <w:szCs w:val="20"/>
          <w:lang w:eastAsia="pt-BR"/>
        </w:rPr>
        <w:t>ruzadas</w:t>
      </w:r>
    </w:p>
    <w:tbl>
      <w:tblPr>
        <w:tblW w:w="9017" w:type="dxa"/>
        <w:tblInd w:w="55" w:type="dxa"/>
        <w:tblLayout w:type="fixed"/>
        <w:tblCellMar>
          <w:left w:w="70" w:type="dxa"/>
          <w:right w:w="70" w:type="dxa"/>
        </w:tblCellMar>
        <w:tblLook w:val="04A0" w:firstRow="1" w:lastRow="0" w:firstColumn="1" w:lastColumn="0" w:noHBand="0" w:noVBand="1"/>
      </w:tblPr>
      <w:tblGrid>
        <w:gridCol w:w="654"/>
        <w:gridCol w:w="1134"/>
        <w:gridCol w:w="1843"/>
        <w:gridCol w:w="1134"/>
        <w:gridCol w:w="1134"/>
        <w:gridCol w:w="1134"/>
        <w:gridCol w:w="1134"/>
        <w:gridCol w:w="850"/>
      </w:tblGrid>
      <w:tr w:rsidR="00083549" w:rsidRPr="00083549" w14:paraId="1849913B" w14:textId="77777777" w:rsidTr="0096187D">
        <w:trPr>
          <w:trHeight w:val="493"/>
        </w:trPr>
        <w:tc>
          <w:tcPr>
            <w:tcW w:w="654" w:type="dxa"/>
            <w:tcBorders>
              <w:top w:val="single" w:sz="4" w:space="0" w:color="auto"/>
              <w:bottom w:val="single" w:sz="4" w:space="0" w:color="auto"/>
            </w:tcBorders>
            <w:shd w:val="clear" w:color="auto" w:fill="auto"/>
            <w:noWrap/>
            <w:vAlign w:val="center"/>
            <w:hideMark/>
          </w:tcPr>
          <w:p w14:paraId="0F1EAA0B"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 </w:t>
            </w:r>
          </w:p>
        </w:tc>
        <w:tc>
          <w:tcPr>
            <w:tcW w:w="1134" w:type="dxa"/>
            <w:tcBorders>
              <w:top w:val="single" w:sz="4" w:space="0" w:color="auto"/>
              <w:bottom w:val="single" w:sz="4" w:space="0" w:color="auto"/>
            </w:tcBorders>
            <w:shd w:val="clear" w:color="auto" w:fill="auto"/>
            <w:noWrap/>
            <w:vAlign w:val="center"/>
            <w:hideMark/>
          </w:tcPr>
          <w:p w14:paraId="266E1CBF" w14:textId="77777777" w:rsidR="00083549" w:rsidRPr="00083549" w:rsidRDefault="00083549" w:rsidP="0096187D">
            <w:pPr>
              <w:spacing w:after="0"/>
              <w:jc w:val="center"/>
              <w:rPr>
                <w:rFonts w:ascii="Garamond" w:hAnsi="Garamond" w:cs="Arial"/>
                <w:bCs/>
                <w:color w:val="000000"/>
                <w:sz w:val="20"/>
                <w:szCs w:val="20"/>
              </w:rPr>
            </w:pPr>
            <w:r w:rsidRPr="00083549">
              <w:rPr>
                <w:rFonts w:ascii="Garamond" w:hAnsi="Garamond" w:cs="Arial"/>
                <w:bCs/>
                <w:color w:val="000000"/>
                <w:sz w:val="20"/>
                <w:szCs w:val="20"/>
              </w:rPr>
              <w:t>Bem-estar Existencial (BE)</w:t>
            </w:r>
          </w:p>
        </w:tc>
        <w:tc>
          <w:tcPr>
            <w:tcW w:w="1843" w:type="dxa"/>
            <w:tcBorders>
              <w:top w:val="single" w:sz="4" w:space="0" w:color="auto"/>
              <w:bottom w:val="single" w:sz="4" w:space="0" w:color="auto"/>
            </w:tcBorders>
            <w:shd w:val="clear" w:color="auto" w:fill="auto"/>
            <w:noWrap/>
            <w:vAlign w:val="center"/>
            <w:hideMark/>
          </w:tcPr>
          <w:p w14:paraId="6951A06E" w14:textId="77777777" w:rsidR="00083549" w:rsidRPr="00083549" w:rsidRDefault="00083549" w:rsidP="0096187D">
            <w:pPr>
              <w:spacing w:after="0"/>
              <w:jc w:val="center"/>
              <w:rPr>
                <w:rFonts w:ascii="Garamond" w:hAnsi="Garamond" w:cs="Arial"/>
                <w:bCs/>
                <w:color w:val="000000"/>
                <w:sz w:val="20"/>
                <w:szCs w:val="20"/>
              </w:rPr>
            </w:pPr>
            <w:r w:rsidRPr="00083549">
              <w:rPr>
                <w:rFonts w:ascii="Garamond" w:hAnsi="Garamond" w:cs="Arial"/>
                <w:bCs/>
                <w:color w:val="000000"/>
                <w:sz w:val="20"/>
                <w:szCs w:val="20"/>
              </w:rPr>
              <w:t>Comprometimento com a carreira (CC)</w:t>
            </w:r>
          </w:p>
        </w:tc>
        <w:tc>
          <w:tcPr>
            <w:tcW w:w="1134" w:type="dxa"/>
            <w:tcBorders>
              <w:top w:val="single" w:sz="4" w:space="0" w:color="auto"/>
              <w:bottom w:val="single" w:sz="4" w:space="0" w:color="auto"/>
            </w:tcBorders>
            <w:shd w:val="clear" w:color="auto" w:fill="auto"/>
            <w:noWrap/>
            <w:vAlign w:val="center"/>
            <w:hideMark/>
          </w:tcPr>
          <w:p w14:paraId="7B847C04" w14:textId="77777777" w:rsidR="00083549" w:rsidRPr="00083549" w:rsidRDefault="00083549" w:rsidP="0096187D">
            <w:pPr>
              <w:spacing w:after="0"/>
              <w:jc w:val="center"/>
              <w:rPr>
                <w:rFonts w:ascii="Garamond" w:hAnsi="Garamond" w:cs="Arial"/>
                <w:bCs/>
                <w:color w:val="000000"/>
                <w:sz w:val="20"/>
                <w:szCs w:val="20"/>
              </w:rPr>
            </w:pPr>
            <w:r w:rsidRPr="00083549">
              <w:rPr>
                <w:rFonts w:ascii="Garamond" w:hAnsi="Garamond" w:cs="Arial"/>
                <w:bCs/>
                <w:color w:val="000000"/>
                <w:sz w:val="20"/>
                <w:szCs w:val="20"/>
              </w:rPr>
              <w:t>Perceber um chamado (PC)</w:t>
            </w:r>
          </w:p>
        </w:tc>
        <w:tc>
          <w:tcPr>
            <w:tcW w:w="1134" w:type="dxa"/>
            <w:tcBorders>
              <w:top w:val="single" w:sz="4" w:space="0" w:color="auto"/>
              <w:bottom w:val="single" w:sz="4" w:space="0" w:color="auto"/>
            </w:tcBorders>
            <w:shd w:val="clear" w:color="auto" w:fill="auto"/>
            <w:noWrap/>
            <w:vAlign w:val="center"/>
            <w:hideMark/>
          </w:tcPr>
          <w:p w14:paraId="2496A06A" w14:textId="77777777" w:rsidR="00083549" w:rsidRPr="00083549" w:rsidRDefault="00083549" w:rsidP="0096187D">
            <w:pPr>
              <w:spacing w:after="0"/>
              <w:jc w:val="center"/>
              <w:rPr>
                <w:rFonts w:ascii="Garamond" w:hAnsi="Garamond" w:cs="Arial"/>
                <w:bCs/>
                <w:color w:val="000000"/>
                <w:sz w:val="20"/>
                <w:szCs w:val="20"/>
              </w:rPr>
            </w:pPr>
            <w:r w:rsidRPr="00083549">
              <w:rPr>
                <w:rFonts w:ascii="Garamond" w:hAnsi="Garamond" w:cs="Arial"/>
                <w:bCs/>
                <w:color w:val="000000"/>
                <w:sz w:val="20"/>
                <w:szCs w:val="20"/>
              </w:rPr>
              <w:t>Satisfação com a vida (SAV)</w:t>
            </w:r>
          </w:p>
        </w:tc>
        <w:tc>
          <w:tcPr>
            <w:tcW w:w="1134" w:type="dxa"/>
            <w:tcBorders>
              <w:top w:val="single" w:sz="4" w:space="0" w:color="auto"/>
              <w:bottom w:val="single" w:sz="4" w:space="0" w:color="auto"/>
            </w:tcBorders>
            <w:shd w:val="clear" w:color="auto" w:fill="auto"/>
            <w:noWrap/>
            <w:vAlign w:val="center"/>
            <w:hideMark/>
          </w:tcPr>
          <w:p w14:paraId="4194B8D5" w14:textId="77777777" w:rsidR="00083549" w:rsidRPr="00083549" w:rsidRDefault="00083549" w:rsidP="0096187D">
            <w:pPr>
              <w:spacing w:after="0"/>
              <w:jc w:val="center"/>
              <w:rPr>
                <w:rFonts w:ascii="Garamond" w:hAnsi="Garamond" w:cs="Arial"/>
                <w:bCs/>
                <w:color w:val="000000"/>
                <w:sz w:val="20"/>
                <w:szCs w:val="20"/>
              </w:rPr>
            </w:pPr>
            <w:r w:rsidRPr="00083549">
              <w:rPr>
                <w:rFonts w:ascii="Garamond" w:hAnsi="Garamond" w:cs="Arial"/>
                <w:bCs/>
                <w:color w:val="000000"/>
                <w:sz w:val="20"/>
                <w:szCs w:val="20"/>
              </w:rPr>
              <w:t>Significado da vida (SIV)</w:t>
            </w:r>
          </w:p>
        </w:tc>
        <w:tc>
          <w:tcPr>
            <w:tcW w:w="1134" w:type="dxa"/>
            <w:tcBorders>
              <w:top w:val="single" w:sz="4" w:space="0" w:color="auto"/>
              <w:bottom w:val="single" w:sz="4" w:space="0" w:color="auto"/>
            </w:tcBorders>
            <w:shd w:val="clear" w:color="auto" w:fill="auto"/>
            <w:noWrap/>
            <w:vAlign w:val="center"/>
            <w:hideMark/>
          </w:tcPr>
          <w:p w14:paraId="0183914F" w14:textId="77777777" w:rsidR="00083549" w:rsidRPr="00083549" w:rsidRDefault="00083549" w:rsidP="0096187D">
            <w:pPr>
              <w:spacing w:after="0"/>
              <w:jc w:val="center"/>
              <w:rPr>
                <w:rFonts w:ascii="Garamond" w:hAnsi="Garamond" w:cs="Arial"/>
                <w:bCs/>
                <w:color w:val="000000"/>
                <w:sz w:val="20"/>
                <w:szCs w:val="20"/>
              </w:rPr>
            </w:pPr>
            <w:r w:rsidRPr="00083549">
              <w:rPr>
                <w:rFonts w:ascii="Garamond" w:hAnsi="Garamond" w:cs="Arial"/>
                <w:bCs/>
                <w:color w:val="000000"/>
                <w:sz w:val="20"/>
                <w:szCs w:val="20"/>
              </w:rPr>
              <w:t>Satisfação no trabalho (ST)</w:t>
            </w:r>
          </w:p>
        </w:tc>
        <w:tc>
          <w:tcPr>
            <w:tcW w:w="850" w:type="dxa"/>
            <w:tcBorders>
              <w:top w:val="single" w:sz="4" w:space="0" w:color="auto"/>
              <w:bottom w:val="single" w:sz="4" w:space="0" w:color="auto"/>
            </w:tcBorders>
            <w:shd w:val="clear" w:color="auto" w:fill="auto"/>
            <w:noWrap/>
            <w:vAlign w:val="center"/>
            <w:hideMark/>
          </w:tcPr>
          <w:p w14:paraId="2F6A3394" w14:textId="77777777" w:rsidR="00083549" w:rsidRPr="00083549" w:rsidRDefault="00083549" w:rsidP="0096187D">
            <w:pPr>
              <w:spacing w:after="0"/>
              <w:jc w:val="center"/>
              <w:rPr>
                <w:rFonts w:ascii="Garamond" w:hAnsi="Garamond" w:cs="Arial"/>
                <w:bCs/>
                <w:color w:val="000000"/>
                <w:sz w:val="20"/>
                <w:szCs w:val="20"/>
              </w:rPr>
            </w:pPr>
            <w:r w:rsidRPr="00083549">
              <w:rPr>
                <w:rFonts w:ascii="Garamond" w:hAnsi="Garamond" w:cs="Arial"/>
                <w:bCs/>
                <w:color w:val="000000"/>
                <w:sz w:val="20"/>
                <w:szCs w:val="20"/>
              </w:rPr>
              <w:t>Viver um chamado (VC)</w:t>
            </w:r>
          </w:p>
        </w:tc>
      </w:tr>
      <w:tr w:rsidR="00083549" w:rsidRPr="00083549" w14:paraId="13D45CE4" w14:textId="77777777" w:rsidTr="0096187D">
        <w:trPr>
          <w:trHeight w:val="300"/>
        </w:trPr>
        <w:tc>
          <w:tcPr>
            <w:tcW w:w="654" w:type="dxa"/>
            <w:tcBorders>
              <w:top w:val="single" w:sz="4" w:space="0" w:color="auto"/>
              <w:right w:val="single" w:sz="4" w:space="0" w:color="auto"/>
            </w:tcBorders>
            <w:shd w:val="clear" w:color="auto" w:fill="auto"/>
            <w:noWrap/>
            <w:vAlign w:val="center"/>
            <w:hideMark/>
          </w:tcPr>
          <w:p w14:paraId="595548F4"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BE1</w:t>
            </w:r>
          </w:p>
        </w:tc>
        <w:tc>
          <w:tcPr>
            <w:tcW w:w="1134" w:type="dxa"/>
            <w:tcBorders>
              <w:top w:val="single" w:sz="4" w:space="0" w:color="auto"/>
              <w:left w:val="single" w:sz="4" w:space="0" w:color="auto"/>
              <w:right w:val="single" w:sz="4" w:space="0" w:color="auto"/>
            </w:tcBorders>
            <w:shd w:val="clear" w:color="auto" w:fill="auto"/>
            <w:noWrap/>
            <w:vAlign w:val="center"/>
            <w:hideMark/>
          </w:tcPr>
          <w:p w14:paraId="37DCA9E5"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0,798</w:t>
            </w:r>
          </w:p>
        </w:tc>
        <w:tc>
          <w:tcPr>
            <w:tcW w:w="1843" w:type="dxa"/>
            <w:tcBorders>
              <w:top w:val="single" w:sz="4" w:space="0" w:color="auto"/>
              <w:left w:val="single" w:sz="4" w:space="0" w:color="auto"/>
            </w:tcBorders>
            <w:shd w:val="clear" w:color="auto" w:fill="auto"/>
            <w:noWrap/>
            <w:vAlign w:val="center"/>
            <w:hideMark/>
          </w:tcPr>
          <w:p w14:paraId="276E91E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0,308</w:t>
            </w:r>
          </w:p>
        </w:tc>
        <w:tc>
          <w:tcPr>
            <w:tcW w:w="1134" w:type="dxa"/>
            <w:tcBorders>
              <w:top w:val="single" w:sz="4" w:space="0" w:color="auto"/>
            </w:tcBorders>
            <w:shd w:val="clear" w:color="auto" w:fill="auto"/>
            <w:noWrap/>
            <w:vAlign w:val="center"/>
            <w:hideMark/>
          </w:tcPr>
          <w:p w14:paraId="57E0315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0,124</w:t>
            </w:r>
          </w:p>
        </w:tc>
        <w:tc>
          <w:tcPr>
            <w:tcW w:w="1134" w:type="dxa"/>
            <w:tcBorders>
              <w:top w:val="single" w:sz="4" w:space="0" w:color="auto"/>
            </w:tcBorders>
            <w:shd w:val="clear" w:color="auto" w:fill="auto"/>
            <w:noWrap/>
            <w:vAlign w:val="center"/>
            <w:hideMark/>
          </w:tcPr>
          <w:p w14:paraId="4ED1E26C"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0,384</w:t>
            </w:r>
          </w:p>
        </w:tc>
        <w:tc>
          <w:tcPr>
            <w:tcW w:w="1134" w:type="dxa"/>
            <w:tcBorders>
              <w:top w:val="single" w:sz="4" w:space="0" w:color="auto"/>
            </w:tcBorders>
            <w:shd w:val="clear" w:color="auto" w:fill="auto"/>
            <w:noWrap/>
            <w:vAlign w:val="center"/>
            <w:hideMark/>
          </w:tcPr>
          <w:p w14:paraId="64E820D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0,333</w:t>
            </w:r>
          </w:p>
        </w:tc>
        <w:tc>
          <w:tcPr>
            <w:tcW w:w="1134" w:type="dxa"/>
            <w:tcBorders>
              <w:top w:val="single" w:sz="4" w:space="0" w:color="auto"/>
            </w:tcBorders>
            <w:shd w:val="clear" w:color="auto" w:fill="auto"/>
            <w:noWrap/>
            <w:vAlign w:val="center"/>
            <w:hideMark/>
          </w:tcPr>
          <w:p w14:paraId="38402574"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0,384</w:t>
            </w:r>
          </w:p>
        </w:tc>
        <w:tc>
          <w:tcPr>
            <w:tcW w:w="850" w:type="dxa"/>
            <w:tcBorders>
              <w:top w:val="single" w:sz="4" w:space="0" w:color="auto"/>
            </w:tcBorders>
            <w:shd w:val="clear" w:color="auto" w:fill="auto"/>
            <w:noWrap/>
            <w:vAlign w:val="center"/>
            <w:hideMark/>
          </w:tcPr>
          <w:p w14:paraId="0FE9B51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0,197</w:t>
            </w:r>
          </w:p>
        </w:tc>
      </w:tr>
      <w:tr w:rsidR="00083549" w:rsidRPr="00083549" w14:paraId="26C54E6F" w14:textId="77777777" w:rsidTr="0096187D">
        <w:trPr>
          <w:trHeight w:val="300"/>
        </w:trPr>
        <w:tc>
          <w:tcPr>
            <w:tcW w:w="654" w:type="dxa"/>
            <w:tcBorders>
              <w:top w:val="nil"/>
              <w:right w:val="single" w:sz="4" w:space="0" w:color="auto"/>
            </w:tcBorders>
            <w:shd w:val="clear" w:color="auto" w:fill="auto"/>
            <w:noWrap/>
            <w:vAlign w:val="center"/>
            <w:hideMark/>
          </w:tcPr>
          <w:p w14:paraId="54FC5924"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BE2</w:t>
            </w:r>
          </w:p>
        </w:tc>
        <w:tc>
          <w:tcPr>
            <w:tcW w:w="1134" w:type="dxa"/>
            <w:tcBorders>
              <w:top w:val="nil"/>
              <w:left w:val="single" w:sz="4" w:space="0" w:color="auto"/>
              <w:right w:val="single" w:sz="4" w:space="0" w:color="auto"/>
            </w:tcBorders>
            <w:shd w:val="clear" w:color="auto" w:fill="auto"/>
            <w:noWrap/>
            <w:vAlign w:val="center"/>
            <w:hideMark/>
          </w:tcPr>
          <w:p w14:paraId="6FF48A66"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0,805</w:t>
            </w:r>
          </w:p>
        </w:tc>
        <w:tc>
          <w:tcPr>
            <w:tcW w:w="1843" w:type="dxa"/>
            <w:tcBorders>
              <w:top w:val="nil"/>
              <w:left w:val="single" w:sz="4" w:space="0" w:color="auto"/>
            </w:tcBorders>
            <w:shd w:val="clear" w:color="auto" w:fill="auto"/>
            <w:noWrap/>
            <w:vAlign w:val="center"/>
            <w:hideMark/>
          </w:tcPr>
          <w:p w14:paraId="136E607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0,332</w:t>
            </w:r>
          </w:p>
        </w:tc>
        <w:tc>
          <w:tcPr>
            <w:tcW w:w="1134" w:type="dxa"/>
            <w:tcBorders>
              <w:top w:val="nil"/>
            </w:tcBorders>
            <w:shd w:val="clear" w:color="auto" w:fill="auto"/>
            <w:noWrap/>
            <w:vAlign w:val="center"/>
            <w:hideMark/>
          </w:tcPr>
          <w:p w14:paraId="0C77A75A"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0,149</w:t>
            </w:r>
          </w:p>
        </w:tc>
        <w:tc>
          <w:tcPr>
            <w:tcW w:w="1134" w:type="dxa"/>
            <w:tcBorders>
              <w:top w:val="nil"/>
            </w:tcBorders>
            <w:shd w:val="clear" w:color="auto" w:fill="auto"/>
            <w:noWrap/>
            <w:vAlign w:val="center"/>
            <w:hideMark/>
          </w:tcPr>
          <w:p w14:paraId="655BCD4F"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0,437</w:t>
            </w:r>
          </w:p>
        </w:tc>
        <w:tc>
          <w:tcPr>
            <w:tcW w:w="1134" w:type="dxa"/>
            <w:tcBorders>
              <w:top w:val="nil"/>
            </w:tcBorders>
            <w:shd w:val="clear" w:color="auto" w:fill="auto"/>
            <w:noWrap/>
            <w:vAlign w:val="center"/>
            <w:hideMark/>
          </w:tcPr>
          <w:p w14:paraId="0DE03096"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0,316</w:t>
            </w:r>
          </w:p>
        </w:tc>
        <w:tc>
          <w:tcPr>
            <w:tcW w:w="1134" w:type="dxa"/>
            <w:tcBorders>
              <w:top w:val="nil"/>
            </w:tcBorders>
            <w:shd w:val="clear" w:color="auto" w:fill="auto"/>
            <w:noWrap/>
            <w:vAlign w:val="center"/>
            <w:hideMark/>
          </w:tcPr>
          <w:p w14:paraId="6CB498A5"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0,422</w:t>
            </w:r>
          </w:p>
        </w:tc>
        <w:tc>
          <w:tcPr>
            <w:tcW w:w="850" w:type="dxa"/>
            <w:tcBorders>
              <w:top w:val="nil"/>
            </w:tcBorders>
            <w:shd w:val="clear" w:color="auto" w:fill="auto"/>
            <w:noWrap/>
            <w:vAlign w:val="center"/>
            <w:hideMark/>
          </w:tcPr>
          <w:p w14:paraId="6750EDF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0,241</w:t>
            </w:r>
          </w:p>
        </w:tc>
      </w:tr>
      <w:tr w:rsidR="00083549" w:rsidRPr="00083549" w14:paraId="575CCF4C" w14:textId="77777777" w:rsidTr="0096187D">
        <w:trPr>
          <w:trHeight w:val="300"/>
        </w:trPr>
        <w:tc>
          <w:tcPr>
            <w:tcW w:w="654" w:type="dxa"/>
            <w:tcBorders>
              <w:top w:val="nil"/>
              <w:right w:val="single" w:sz="4" w:space="0" w:color="auto"/>
            </w:tcBorders>
            <w:shd w:val="clear" w:color="auto" w:fill="auto"/>
            <w:noWrap/>
            <w:vAlign w:val="center"/>
            <w:hideMark/>
          </w:tcPr>
          <w:p w14:paraId="7A5EB2EA"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BE3</w:t>
            </w:r>
          </w:p>
        </w:tc>
        <w:tc>
          <w:tcPr>
            <w:tcW w:w="1134" w:type="dxa"/>
            <w:tcBorders>
              <w:top w:val="nil"/>
              <w:left w:val="single" w:sz="4" w:space="0" w:color="auto"/>
              <w:right w:val="single" w:sz="4" w:space="0" w:color="auto"/>
            </w:tcBorders>
            <w:shd w:val="clear" w:color="auto" w:fill="auto"/>
            <w:noWrap/>
            <w:vAlign w:val="center"/>
            <w:hideMark/>
          </w:tcPr>
          <w:p w14:paraId="1E02BCDC"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0,854</w:t>
            </w:r>
          </w:p>
        </w:tc>
        <w:tc>
          <w:tcPr>
            <w:tcW w:w="1843" w:type="dxa"/>
            <w:tcBorders>
              <w:top w:val="nil"/>
              <w:left w:val="single" w:sz="4" w:space="0" w:color="auto"/>
            </w:tcBorders>
            <w:shd w:val="clear" w:color="auto" w:fill="auto"/>
            <w:noWrap/>
            <w:vAlign w:val="center"/>
            <w:hideMark/>
          </w:tcPr>
          <w:p w14:paraId="6A141584"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0,392</w:t>
            </w:r>
          </w:p>
        </w:tc>
        <w:tc>
          <w:tcPr>
            <w:tcW w:w="1134" w:type="dxa"/>
            <w:tcBorders>
              <w:top w:val="nil"/>
            </w:tcBorders>
            <w:shd w:val="clear" w:color="auto" w:fill="auto"/>
            <w:noWrap/>
            <w:vAlign w:val="center"/>
            <w:hideMark/>
          </w:tcPr>
          <w:p w14:paraId="1F8A61BD"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0,185</w:t>
            </w:r>
          </w:p>
        </w:tc>
        <w:tc>
          <w:tcPr>
            <w:tcW w:w="1134" w:type="dxa"/>
            <w:tcBorders>
              <w:top w:val="nil"/>
            </w:tcBorders>
            <w:shd w:val="clear" w:color="auto" w:fill="auto"/>
            <w:noWrap/>
            <w:vAlign w:val="center"/>
            <w:hideMark/>
          </w:tcPr>
          <w:p w14:paraId="1AD4620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0,385</w:t>
            </w:r>
          </w:p>
        </w:tc>
        <w:tc>
          <w:tcPr>
            <w:tcW w:w="1134" w:type="dxa"/>
            <w:tcBorders>
              <w:top w:val="nil"/>
            </w:tcBorders>
            <w:shd w:val="clear" w:color="auto" w:fill="auto"/>
            <w:noWrap/>
            <w:vAlign w:val="center"/>
            <w:hideMark/>
          </w:tcPr>
          <w:p w14:paraId="60C0B21A"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0,382</w:t>
            </w:r>
          </w:p>
        </w:tc>
        <w:tc>
          <w:tcPr>
            <w:tcW w:w="1134" w:type="dxa"/>
            <w:tcBorders>
              <w:top w:val="nil"/>
            </w:tcBorders>
            <w:shd w:val="clear" w:color="auto" w:fill="auto"/>
            <w:noWrap/>
            <w:vAlign w:val="center"/>
            <w:hideMark/>
          </w:tcPr>
          <w:p w14:paraId="5B7D854E"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0,485</w:t>
            </w:r>
          </w:p>
        </w:tc>
        <w:tc>
          <w:tcPr>
            <w:tcW w:w="850" w:type="dxa"/>
            <w:tcBorders>
              <w:top w:val="nil"/>
            </w:tcBorders>
            <w:shd w:val="clear" w:color="auto" w:fill="auto"/>
            <w:noWrap/>
            <w:vAlign w:val="center"/>
            <w:hideMark/>
          </w:tcPr>
          <w:p w14:paraId="796FF6D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0,299</w:t>
            </w:r>
          </w:p>
        </w:tc>
      </w:tr>
      <w:tr w:rsidR="00083549" w:rsidRPr="00083549" w14:paraId="3FA8185C" w14:textId="77777777" w:rsidTr="0096187D">
        <w:trPr>
          <w:trHeight w:val="300"/>
        </w:trPr>
        <w:tc>
          <w:tcPr>
            <w:tcW w:w="654" w:type="dxa"/>
            <w:tcBorders>
              <w:top w:val="nil"/>
              <w:right w:val="single" w:sz="4" w:space="0" w:color="auto"/>
            </w:tcBorders>
            <w:shd w:val="clear" w:color="auto" w:fill="auto"/>
            <w:noWrap/>
            <w:vAlign w:val="center"/>
            <w:hideMark/>
          </w:tcPr>
          <w:p w14:paraId="1E897DF0"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BE4</w:t>
            </w:r>
          </w:p>
        </w:tc>
        <w:tc>
          <w:tcPr>
            <w:tcW w:w="1134" w:type="dxa"/>
            <w:tcBorders>
              <w:top w:val="nil"/>
              <w:left w:val="single" w:sz="4" w:space="0" w:color="auto"/>
              <w:right w:val="single" w:sz="4" w:space="0" w:color="auto"/>
            </w:tcBorders>
            <w:shd w:val="clear" w:color="auto" w:fill="auto"/>
            <w:noWrap/>
            <w:vAlign w:val="center"/>
            <w:hideMark/>
          </w:tcPr>
          <w:p w14:paraId="1BB1262C"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0,816</w:t>
            </w:r>
          </w:p>
        </w:tc>
        <w:tc>
          <w:tcPr>
            <w:tcW w:w="1843" w:type="dxa"/>
            <w:tcBorders>
              <w:top w:val="nil"/>
              <w:left w:val="single" w:sz="4" w:space="0" w:color="auto"/>
            </w:tcBorders>
            <w:shd w:val="clear" w:color="auto" w:fill="auto"/>
            <w:noWrap/>
            <w:vAlign w:val="center"/>
            <w:hideMark/>
          </w:tcPr>
          <w:p w14:paraId="7612327C"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0,269</w:t>
            </w:r>
          </w:p>
        </w:tc>
        <w:tc>
          <w:tcPr>
            <w:tcW w:w="1134" w:type="dxa"/>
            <w:tcBorders>
              <w:top w:val="nil"/>
            </w:tcBorders>
            <w:shd w:val="clear" w:color="auto" w:fill="auto"/>
            <w:noWrap/>
            <w:vAlign w:val="center"/>
            <w:hideMark/>
          </w:tcPr>
          <w:p w14:paraId="3327AA5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0,136</w:t>
            </w:r>
          </w:p>
        </w:tc>
        <w:tc>
          <w:tcPr>
            <w:tcW w:w="1134" w:type="dxa"/>
            <w:tcBorders>
              <w:top w:val="nil"/>
            </w:tcBorders>
            <w:shd w:val="clear" w:color="auto" w:fill="auto"/>
            <w:noWrap/>
            <w:vAlign w:val="center"/>
            <w:hideMark/>
          </w:tcPr>
          <w:p w14:paraId="13BED00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0,383</w:t>
            </w:r>
          </w:p>
        </w:tc>
        <w:tc>
          <w:tcPr>
            <w:tcW w:w="1134" w:type="dxa"/>
            <w:tcBorders>
              <w:top w:val="nil"/>
            </w:tcBorders>
            <w:shd w:val="clear" w:color="auto" w:fill="auto"/>
            <w:noWrap/>
            <w:vAlign w:val="center"/>
            <w:hideMark/>
          </w:tcPr>
          <w:p w14:paraId="1A3E8EA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0,302</w:t>
            </w:r>
          </w:p>
        </w:tc>
        <w:tc>
          <w:tcPr>
            <w:tcW w:w="1134" w:type="dxa"/>
            <w:tcBorders>
              <w:top w:val="nil"/>
            </w:tcBorders>
            <w:shd w:val="clear" w:color="auto" w:fill="auto"/>
            <w:noWrap/>
            <w:vAlign w:val="center"/>
            <w:hideMark/>
          </w:tcPr>
          <w:p w14:paraId="6CF28F47"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0,331</w:t>
            </w:r>
          </w:p>
        </w:tc>
        <w:tc>
          <w:tcPr>
            <w:tcW w:w="850" w:type="dxa"/>
            <w:tcBorders>
              <w:top w:val="nil"/>
            </w:tcBorders>
            <w:shd w:val="clear" w:color="auto" w:fill="auto"/>
            <w:noWrap/>
            <w:vAlign w:val="center"/>
            <w:hideMark/>
          </w:tcPr>
          <w:p w14:paraId="306F7A00"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0,181</w:t>
            </w:r>
          </w:p>
        </w:tc>
      </w:tr>
      <w:tr w:rsidR="00083549" w:rsidRPr="00083549" w14:paraId="5484B90C" w14:textId="77777777" w:rsidTr="0096187D">
        <w:trPr>
          <w:trHeight w:val="300"/>
        </w:trPr>
        <w:tc>
          <w:tcPr>
            <w:tcW w:w="654" w:type="dxa"/>
            <w:tcBorders>
              <w:top w:val="nil"/>
              <w:right w:val="single" w:sz="4" w:space="0" w:color="auto"/>
            </w:tcBorders>
            <w:shd w:val="clear" w:color="auto" w:fill="auto"/>
            <w:noWrap/>
            <w:vAlign w:val="center"/>
            <w:hideMark/>
          </w:tcPr>
          <w:p w14:paraId="2EBB4A67"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BE5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222281C"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0,751</w:t>
            </w:r>
          </w:p>
        </w:tc>
        <w:tc>
          <w:tcPr>
            <w:tcW w:w="1843" w:type="dxa"/>
            <w:tcBorders>
              <w:top w:val="nil"/>
              <w:left w:val="single" w:sz="4" w:space="0" w:color="auto"/>
              <w:bottom w:val="single" w:sz="4" w:space="0" w:color="auto"/>
            </w:tcBorders>
            <w:shd w:val="clear" w:color="auto" w:fill="auto"/>
            <w:noWrap/>
            <w:vAlign w:val="center"/>
            <w:hideMark/>
          </w:tcPr>
          <w:p w14:paraId="53699A14"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0,245</w:t>
            </w:r>
          </w:p>
        </w:tc>
        <w:tc>
          <w:tcPr>
            <w:tcW w:w="1134" w:type="dxa"/>
            <w:tcBorders>
              <w:top w:val="nil"/>
            </w:tcBorders>
            <w:shd w:val="clear" w:color="auto" w:fill="auto"/>
            <w:noWrap/>
            <w:vAlign w:val="center"/>
            <w:hideMark/>
          </w:tcPr>
          <w:p w14:paraId="1548DE4A"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0,103</w:t>
            </w:r>
          </w:p>
        </w:tc>
        <w:tc>
          <w:tcPr>
            <w:tcW w:w="1134" w:type="dxa"/>
            <w:tcBorders>
              <w:top w:val="nil"/>
            </w:tcBorders>
            <w:shd w:val="clear" w:color="auto" w:fill="auto"/>
            <w:noWrap/>
            <w:vAlign w:val="center"/>
            <w:hideMark/>
          </w:tcPr>
          <w:p w14:paraId="27847B60"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0,365</w:t>
            </w:r>
          </w:p>
        </w:tc>
        <w:tc>
          <w:tcPr>
            <w:tcW w:w="1134" w:type="dxa"/>
            <w:tcBorders>
              <w:top w:val="nil"/>
            </w:tcBorders>
            <w:shd w:val="clear" w:color="auto" w:fill="auto"/>
            <w:noWrap/>
            <w:vAlign w:val="center"/>
            <w:hideMark/>
          </w:tcPr>
          <w:p w14:paraId="207DD816"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0,260</w:t>
            </w:r>
          </w:p>
        </w:tc>
        <w:tc>
          <w:tcPr>
            <w:tcW w:w="1134" w:type="dxa"/>
            <w:tcBorders>
              <w:top w:val="nil"/>
            </w:tcBorders>
            <w:shd w:val="clear" w:color="auto" w:fill="auto"/>
            <w:noWrap/>
            <w:vAlign w:val="center"/>
            <w:hideMark/>
          </w:tcPr>
          <w:p w14:paraId="16D77F0A"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0,330</w:t>
            </w:r>
          </w:p>
        </w:tc>
        <w:tc>
          <w:tcPr>
            <w:tcW w:w="850" w:type="dxa"/>
            <w:tcBorders>
              <w:top w:val="nil"/>
            </w:tcBorders>
            <w:shd w:val="clear" w:color="auto" w:fill="auto"/>
            <w:noWrap/>
            <w:vAlign w:val="center"/>
            <w:hideMark/>
          </w:tcPr>
          <w:p w14:paraId="64315B34"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0,162</w:t>
            </w:r>
          </w:p>
        </w:tc>
      </w:tr>
      <w:tr w:rsidR="00083549" w:rsidRPr="00083549" w14:paraId="3122E863" w14:textId="77777777" w:rsidTr="0096187D">
        <w:trPr>
          <w:trHeight w:val="300"/>
        </w:trPr>
        <w:tc>
          <w:tcPr>
            <w:tcW w:w="654" w:type="dxa"/>
            <w:tcBorders>
              <w:top w:val="nil"/>
            </w:tcBorders>
            <w:shd w:val="clear" w:color="auto" w:fill="auto"/>
            <w:noWrap/>
            <w:vAlign w:val="center"/>
            <w:hideMark/>
          </w:tcPr>
          <w:p w14:paraId="02BBF56D"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CC2</w:t>
            </w:r>
          </w:p>
        </w:tc>
        <w:tc>
          <w:tcPr>
            <w:tcW w:w="1134" w:type="dxa"/>
            <w:tcBorders>
              <w:top w:val="single" w:sz="4" w:space="0" w:color="auto"/>
              <w:right w:val="single" w:sz="4" w:space="0" w:color="auto"/>
            </w:tcBorders>
            <w:shd w:val="clear" w:color="auto" w:fill="auto"/>
            <w:noWrap/>
            <w:vAlign w:val="center"/>
            <w:hideMark/>
          </w:tcPr>
          <w:p w14:paraId="7FC317EE"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0,243</w:t>
            </w:r>
          </w:p>
        </w:tc>
        <w:tc>
          <w:tcPr>
            <w:tcW w:w="1843" w:type="dxa"/>
            <w:tcBorders>
              <w:top w:val="single" w:sz="4" w:space="0" w:color="auto"/>
              <w:left w:val="single" w:sz="4" w:space="0" w:color="auto"/>
              <w:right w:val="single" w:sz="4" w:space="0" w:color="auto"/>
            </w:tcBorders>
            <w:shd w:val="clear" w:color="auto" w:fill="auto"/>
            <w:noWrap/>
            <w:vAlign w:val="center"/>
            <w:hideMark/>
          </w:tcPr>
          <w:p w14:paraId="7A7A14A6"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0,646</w:t>
            </w:r>
          </w:p>
        </w:tc>
        <w:tc>
          <w:tcPr>
            <w:tcW w:w="1134" w:type="dxa"/>
            <w:tcBorders>
              <w:top w:val="nil"/>
              <w:left w:val="single" w:sz="4" w:space="0" w:color="auto"/>
            </w:tcBorders>
            <w:shd w:val="clear" w:color="auto" w:fill="auto"/>
            <w:noWrap/>
            <w:vAlign w:val="center"/>
            <w:hideMark/>
          </w:tcPr>
          <w:p w14:paraId="38771991"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0,284</w:t>
            </w:r>
          </w:p>
        </w:tc>
        <w:tc>
          <w:tcPr>
            <w:tcW w:w="1134" w:type="dxa"/>
            <w:tcBorders>
              <w:top w:val="nil"/>
            </w:tcBorders>
            <w:shd w:val="clear" w:color="auto" w:fill="auto"/>
            <w:noWrap/>
            <w:vAlign w:val="center"/>
            <w:hideMark/>
          </w:tcPr>
          <w:p w14:paraId="4C1CB3D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0,337</w:t>
            </w:r>
          </w:p>
        </w:tc>
        <w:tc>
          <w:tcPr>
            <w:tcW w:w="1134" w:type="dxa"/>
            <w:tcBorders>
              <w:top w:val="nil"/>
            </w:tcBorders>
            <w:shd w:val="clear" w:color="auto" w:fill="auto"/>
            <w:noWrap/>
            <w:vAlign w:val="center"/>
            <w:hideMark/>
          </w:tcPr>
          <w:p w14:paraId="042CACC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0,234</w:t>
            </w:r>
          </w:p>
        </w:tc>
        <w:tc>
          <w:tcPr>
            <w:tcW w:w="1134" w:type="dxa"/>
            <w:tcBorders>
              <w:top w:val="nil"/>
            </w:tcBorders>
            <w:shd w:val="clear" w:color="auto" w:fill="auto"/>
            <w:noWrap/>
            <w:vAlign w:val="center"/>
            <w:hideMark/>
          </w:tcPr>
          <w:p w14:paraId="40ED2E6D"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0,510</w:t>
            </w:r>
          </w:p>
        </w:tc>
        <w:tc>
          <w:tcPr>
            <w:tcW w:w="850" w:type="dxa"/>
            <w:tcBorders>
              <w:top w:val="nil"/>
            </w:tcBorders>
            <w:shd w:val="clear" w:color="auto" w:fill="auto"/>
            <w:noWrap/>
            <w:vAlign w:val="center"/>
            <w:hideMark/>
          </w:tcPr>
          <w:p w14:paraId="661AE72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0,533</w:t>
            </w:r>
          </w:p>
        </w:tc>
      </w:tr>
      <w:tr w:rsidR="00083549" w:rsidRPr="00083549" w14:paraId="281606F1" w14:textId="77777777" w:rsidTr="0096187D">
        <w:trPr>
          <w:trHeight w:val="300"/>
        </w:trPr>
        <w:tc>
          <w:tcPr>
            <w:tcW w:w="654" w:type="dxa"/>
            <w:tcBorders>
              <w:top w:val="nil"/>
            </w:tcBorders>
            <w:shd w:val="clear" w:color="auto" w:fill="auto"/>
            <w:noWrap/>
            <w:vAlign w:val="center"/>
            <w:hideMark/>
          </w:tcPr>
          <w:p w14:paraId="2339E54C"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CC3</w:t>
            </w:r>
          </w:p>
        </w:tc>
        <w:tc>
          <w:tcPr>
            <w:tcW w:w="1134" w:type="dxa"/>
            <w:tcBorders>
              <w:top w:val="nil"/>
              <w:right w:val="single" w:sz="4" w:space="0" w:color="auto"/>
            </w:tcBorders>
            <w:shd w:val="clear" w:color="auto" w:fill="auto"/>
            <w:noWrap/>
            <w:vAlign w:val="center"/>
            <w:hideMark/>
          </w:tcPr>
          <w:p w14:paraId="7F1E6B7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0,421</w:t>
            </w:r>
          </w:p>
        </w:tc>
        <w:tc>
          <w:tcPr>
            <w:tcW w:w="1843" w:type="dxa"/>
            <w:tcBorders>
              <w:top w:val="nil"/>
              <w:left w:val="single" w:sz="4" w:space="0" w:color="auto"/>
              <w:right w:val="single" w:sz="4" w:space="0" w:color="auto"/>
            </w:tcBorders>
            <w:shd w:val="clear" w:color="auto" w:fill="auto"/>
            <w:noWrap/>
            <w:vAlign w:val="center"/>
            <w:hideMark/>
          </w:tcPr>
          <w:p w14:paraId="4D0D089F"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0,655</w:t>
            </w:r>
          </w:p>
        </w:tc>
        <w:tc>
          <w:tcPr>
            <w:tcW w:w="1134" w:type="dxa"/>
            <w:tcBorders>
              <w:top w:val="nil"/>
              <w:left w:val="single" w:sz="4" w:space="0" w:color="auto"/>
            </w:tcBorders>
            <w:shd w:val="clear" w:color="auto" w:fill="auto"/>
            <w:noWrap/>
            <w:vAlign w:val="center"/>
            <w:hideMark/>
          </w:tcPr>
          <w:p w14:paraId="0810A0B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0,208</w:t>
            </w:r>
          </w:p>
        </w:tc>
        <w:tc>
          <w:tcPr>
            <w:tcW w:w="1134" w:type="dxa"/>
            <w:tcBorders>
              <w:top w:val="nil"/>
            </w:tcBorders>
            <w:shd w:val="clear" w:color="auto" w:fill="auto"/>
            <w:noWrap/>
            <w:vAlign w:val="center"/>
            <w:hideMark/>
          </w:tcPr>
          <w:p w14:paraId="00F1737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0,330</w:t>
            </w:r>
          </w:p>
        </w:tc>
        <w:tc>
          <w:tcPr>
            <w:tcW w:w="1134" w:type="dxa"/>
            <w:tcBorders>
              <w:top w:val="nil"/>
            </w:tcBorders>
            <w:shd w:val="clear" w:color="auto" w:fill="auto"/>
            <w:noWrap/>
            <w:vAlign w:val="center"/>
            <w:hideMark/>
          </w:tcPr>
          <w:p w14:paraId="49E7EC9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0,201</w:t>
            </w:r>
          </w:p>
        </w:tc>
        <w:tc>
          <w:tcPr>
            <w:tcW w:w="1134" w:type="dxa"/>
            <w:tcBorders>
              <w:top w:val="nil"/>
            </w:tcBorders>
            <w:shd w:val="clear" w:color="auto" w:fill="auto"/>
            <w:noWrap/>
            <w:vAlign w:val="center"/>
            <w:hideMark/>
          </w:tcPr>
          <w:p w14:paraId="616CD59E"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0,488</w:t>
            </w:r>
          </w:p>
        </w:tc>
        <w:tc>
          <w:tcPr>
            <w:tcW w:w="850" w:type="dxa"/>
            <w:tcBorders>
              <w:top w:val="nil"/>
            </w:tcBorders>
            <w:shd w:val="clear" w:color="auto" w:fill="auto"/>
            <w:noWrap/>
            <w:vAlign w:val="center"/>
            <w:hideMark/>
          </w:tcPr>
          <w:p w14:paraId="274BF580"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0,361</w:t>
            </w:r>
          </w:p>
        </w:tc>
      </w:tr>
      <w:tr w:rsidR="00083549" w:rsidRPr="00083549" w14:paraId="53B169E5" w14:textId="77777777" w:rsidTr="0096187D">
        <w:trPr>
          <w:trHeight w:val="300"/>
        </w:trPr>
        <w:tc>
          <w:tcPr>
            <w:tcW w:w="654" w:type="dxa"/>
            <w:tcBorders>
              <w:top w:val="nil"/>
            </w:tcBorders>
            <w:shd w:val="clear" w:color="auto" w:fill="auto"/>
            <w:noWrap/>
            <w:vAlign w:val="center"/>
            <w:hideMark/>
          </w:tcPr>
          <w:p w14:paraId="7015246A"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CC4</w:t>
            </w:r>
          </w:p>
        </w:tc>
        <w:tc>
          <w:tcPr>
            <w:tcW w:w="1134" w:type="dxa"/>
            <w:tcBorders>
              <w:top w:val="nil"/>
              <w:right w:val="single" w:sz="4" w:space="0" w:color="auto"/>
            </w:tcBorders>
            <w:shd w:val="clear" w:color="auto" w:fill="auto"/>
            <w:noWrap/>
            <w:vAlign w:val="center"/>
            <w:hideMark/>
          </w:tcPr>
          <w:p w14:paraId="7622E0AE"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0,142</w:t>
            </w:r>
          </w:p>
        </w:tc>
        <w:tc>
          <w:tcPr>
            <w:tcW w:w="1843" w:type="dxa"/>
            <w:tcBorders>
              <w:top w:val="nil"/>
              <w:left w:val="single" w:sz="4" w:space="0" w:color="auto"/>
              <w:right w:val="single" w:sz="4" w:space="0" w:color="auto"/>
            </w:tcBorders>
            <w:shd w:val="clear" w:color="auto" w:fill="auto"/>
            <w:noWrap/>
            <w:vAlign w:val="center"/>
            <w:hideMark/>
          </w:tcPr>
          <w:p w14:paraId="33125BE3"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0,732</w:t>
            </w:r>
          </w:p>
        </w:tc>
        <w:tc>
          <w:tcPr>
            <w:tcW w:w="1134" w:type="dxa"/>
            <w:tcBorders>
              <w:top w:val="nil"/>
              <w:left w:val="single" w:sz="4" w:space="0" w:color="auto"/>
            </w:tcBorders>
            <w:shd w:val="clear" w:color="auto" w:fill="auto"/>
            <w:noWrap/>
            <w:vAlign w:val="center"/>
            <w:hideMark/>
          </w:tcPr>
          <w:p w14:paraId="625BE3DC"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0,277</w:t>
            </w:r>
          </w:p>
        </w:tc>
        <w:tc>
          <w:tcPr>
            <w:tcW w:w="1134" w:type="dxa"/>
            <w:tcBorders>
              <w:top w:val="nil"/>
            </w:tcBorders>
            <w:shd w:val="clear" w:color="auto" w:fill="auto"/>
            <w:noWrap/>
            <w:vAlign w:val="center"/>
            <w:hideMark/>
          </w:tcPr>
          <w:p w14:paraId="7A416B4D"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0,313</w:t>
            </w:r>
          </w:p>
        </w:tc>
        <w:tc>
          <w:tcPr>
            <w:tcW w:w="1134" w:type="dxa"/>
            <w:tcBorders>
              <w:top w:val="nil"/>
            </w:tcBorders>
            <w:shd w:val="clear" w:color="auto" w:fill="auto"/>
            <w:noWrap/>
            <w:vAlign w:val="center"/>
            <w:hideMark/>
          </w:tcPr>
          <w:p w14:paraId="3ABE56E5"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0,277</w:t>
            </w:r>
          </w:p>
        </w:tc>
        <w:tc>
          <w:tcPr>
            <w:tcW w:w="1134" w:type="dxa"/>
            <w:tcBorders>
              <w:top w:val="nil"/>
            </w:tcBorders>
            <w:shd w:val="clear" w:color="auto" w:fill="auto"/>
            <w:noWrap/>
            <w:vAlign w:val="center"/>
            <w:hideMark/>
          </w:tcPr>
          <w:p w14:paraId="331854A7"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0,452</w:t>
            </w:r>
          </w:p>
        </w:tc>
        <w:tc>
          <w:tcPr>
            <w:tcW w:w="850" w:type="dxa"/>
            <w:tcBorders>
              <w:top w:val="nil"/>
            </w:tcBorders>
            <w:shd w:val="clear" w:color="auto" w:fill="auto"/>
            <w:noWrap/>
            <w:vAlign w:val="center"/>
            <w:hideMark/>
          </w:tcPr>
          <w:p w14:paraId="47744CC1"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0,510</w:t>
            </w:r>
          </w:p>
        </w:tc>
      </w:tr>
      <w:tr w:rsidR="00083549" w:rsidRPr="00083549" w14:paraId="3762B336" w14:textId="77777777" w:rsidTr="0096187D">
        <w:trPr>
          <w:trHeight w:val="300"/>
        </w:trPr>
        <w:tc>
          <w:tcPr>
            <w:tcW w:w="654" w:type="dxa"/>
            <w:tcBorders>
              <w:top w:val="nil"/>
            </w:tcBorders>
            <w:shd w:val="clear" w:color="auto" w:fill="auto"/>
            <w:noWrap/>
            <w:vAlign w:val="center"/>
            <w:hideMark/>
          </w:tcPr>
          <w:p w14:paraId="5838519A"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CC5</w:t>
            </w:r>
          </w:p>
        </w:tc>
        <w:tc>
          <w:tcPr>
            <w:tcW w:w="1134" w:type="dxa"/>
            <w:tcBorders>
              <w:top w:val="nil"/>
              <w:right w:val="single" w:sz="4" w:space="0" w:color="auto"/>
            </w:tcBorders>
            <w:shd w:val="clear" w:color="auto" w:fill="auto"/>
            <w:noWrap/>
            <w:vAlign w:val="center"/>
            <w:hideMark/>
          </w:tcPr>
          <w:p w14:paraId="039F71DE"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0,185</w:t>
            </w:r>
          </w:p>
        </w:tc>
        <w:tc>
          <w:tcPr>
            <w:tcW w:w="1843" w:type="dxa"/>
            <w:tcBorders>
              <w:top w:val="nil"/>
              <w:left w:val="single" w:sz="4" w:space="0" w:color="auto"/>
              <w:right w:val="single" w:sz="4" w:space="0" w:color="auto"/>
            </w:tcBorders>
            <w:shd w:val="clear" w:color="auto" w:fill="auto"/>
            <w:noWrap/>
            <w:vAlign w:val="center"/>
            <w:hideMark/>
          </w:tcPr>
          <w:p w14:paraId="16DFFADD"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0,724</w:t>
            </w:r>
          </w:p>
        </w:tc>
        <w:tc>
          <w:tcPr>
            <w:tcW w:w="1134" w:type="dxa"/>
            <w:tcBorders>
              <w:top w:val="nil"/>
              <w:left w:val="single" w:sz="4" w:space="0" w:color="auto"/>
            </w:tcBorders>
            <w:shd w:val="clear" w:color="auto" w:fill="auto"/>
            <w:noWrap/>
            <w:vAlign w:val="center"/>
            <w:hideMark/>
          </w:tcPr>
          <w:p w14:paraId="29A7A004"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0,243</w:t>
            </w:r>
          </w:p>
        </w:tc>
        <w:tc>
          <w:tcPr>
            <w:tcW w:w="1134" w:type="dxa"/>
            <w:tcBorders>
              <w:top w:val="nil"/>
            </w:tcBorders>
            <w:shd w:val="clear" w:color="auto" w:fill="auto"/>
            <w:noWrap/>
            <w:vAlign w:val="center"/>
            <w:hideMark/>
          </w:tcPr>
          <w:p w14:paraId="1EB287F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0,302</w:t>
            </w:r>
          </w:p>
        </w:tc>
        <w:tc>
          <w:tcPr>
            <w:tcW w:w="1134" w:type="dxa"/>
            <w:tcBorders>
              <w:top w:val="nil"/>
            </w:tcBorders>
            <w:shd w:val="clear" w:color="auto" w:fill="auto"/>
            <w:noWrap/>
            <w:vAlign w:val="center"/>
            <w:hideMark/>
          </w:tcPr>
          <w:p w14:paraId="4217697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0,281</w:t>
            </w:r>
          </w:p>
        </w:tc>
        <w:tc>
          <w:tcPr>
            <w:tcW w:w="1134" w:type="dxa"/>
            <w:tcBorders>
              <w:top w:val="nil"/>
            </w:tcBorders>
            <w:shd w:val="clear" w:color="auto" w:fill="auto"/>
            <w:noWrap/>
            <w:vAlign w:val="center"/>
            <w:hideMark/>
          </w:tcPr>
          <w:p w14:paraId="17351C46"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0,399</w:t>
            </w:r>
          </w:p>
        </w:tc>
        <w:tc>
          <w:tcPr>
            <w:tcW w:w="850" w:type="dxa"/>
            <w:tcBorders>
              <w:top w:val="nil"/>
            </w:tcBorders>
            <w:shd w:val="clear" w:color="auto" w:fill="auto"/>
            <w:noWrap/>
            <w:vAlign w:val="center"/>
            <w:hideMark/>
          </w:tcPr>
          <w:p w14:paraId="6B8A657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0,394</w:t>
            </w:r>
          </w:p>
        </w:tc>
      </w:tr>
      <w:tr w:rsidR="00083549" w:rsidRPr="00083549" w14:paraId="0D97839A" w14:textId="77777777" w:rsidTr="0096187D">
        <w:trPr>
          <w:trHeight w:val="300"/>
        </w:trPr>
        <w:tc>
          <w:tcPr>
            <w:tcW w:w="654" w:type="dxa"/>
            <w:tcBorders>
              <w:top w:val="nil"/>
            </w:tcBorders>
            <w:shd w:val="clear" w:color="auto" w:fill="auto"/>
            <w:noWrap/>
            <w:vAlign w:val="center"/>
            <w:hideMark/>
          </w:tcPr>
          <w:p w14:paraId="6081EE90"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CC6</w:t>
            </w:r>
          </w:p>
        </w:tc>
        <w:tc>
          <w:tcPr>
            <w:tcW w:w="1134" w:type="dxa"/>
            <w:tcBorders>
              <w:top w:val="nil"/>
              <w:right w:val="single" w:sz="4" w:space="0" w:color="auto"/>
            </w:tcBorders>
            <w:shd w:val="clear" w:color="auto" w:fill="auto"/>
            <w:noWrap/>
            <w:vAlign w:val="center"/>
            <w:hideMark/>
          </w:tcPr>
          <w:p w14:paraId="73AA033E"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0,224</w:t>
            </w:r>
          </w:p>
        </w:tc>
        <w:tc>
          <w:tcPr>
            <w:tcW w:w="1843" w:type="dxa"/>
            <w:tcBorders>
              <w:top w:val="nil"/>
              <w:left w:val="single" w:sz="4" w:space="0" w:color="auto"/>
              <w:right w:val="single" w:sz="4" w:space="0" w:color="auto"/>
            </w:tcBorders>
            <w:shd w:val="clear" w:color="auto" w:fill="auto"/>
            <w:noWrap/>
            <w:vAlign w:val="center"/>
            <w:hideMark/>
          </w:tcPr>
          <w:p w14:paraId="5C4B682B"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0,827</w:t>
            </w:r>
          </w:p>
        </w:tc>
        <w:tc>
          <w:tcPr>
            <w:tcW w:w="1134" w:type="dxa"/>
            <w:tcBorders>
              <w:top w:val="nil"/>
              <w:left w:val="single" w:sz="4" w:space="0" w:color="auto"/>
            </w:tcBorders>
            <w:shd w:val="clear" w:color="auto" w:fill="auto"/>
            <w:noWrap/>
            <w:vAlign w:val="center"/>
            <w:hideMark/>
          </w:tcPr>
          <w:p w14:paraId="53E8233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0,423</w:t>
            </w:r>
          </w:p>
        </w:tc>
        <w:tc>
          <w:tcPr>
            <w:tcW w:w="1134" w:type="dxa"/>
            <w:tcBorders>
              <w:top w:val="nil"/>
            </w:tcBorders>
            <w:shd w:val="clear" w:color="auto" w:fill="auto"/>
            <w:noWrap/>
            <w:vAlign w:val="center"/>
            <w:hideMark/>
          </w:tcPr>
          <w:p w14:paraId="0B9B0C6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0,385</w:t>
            </w:r>
          </w:p>
        </w:tc>
        <w:tc>
          <w:tcPr>
            <w:tcW w:w="1134" w:type="dxa"/>
            <w:tcBorders>
              <w:top w:val="nil"/>
            </w:tcBorders>
            <w:shd w:val="clear" w:color="auto" w:fill="auto"/>
            <w:noWrap/>
            <w:vAlign w:val="center"/>
            <w:hideMark/>
          </w:tcPr>
          <w:p w14:paraId="5636CF8F"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0,390</w:t>
            </w:r>
          </w:p>
        </w:tc>
        <w:tc>
          <w:tcPr>
            <w:tcW w:w="1134" w:type="dxa"/>
            <w:tcBorders>
              <w:top w:val="nil"/>
            </w:tcBorders>
            <w:shd w:val="clear" w:color="auto" w:fill="auto"/>
            <w:noWrap/>
            <w:vAlign w:val="center"/>
            <w:hideMark/>
          </w:tcPr>
          <w:p w14:paraId="0FC5977D"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0,469</w:t>
            </w:r>
          </w:p>
        </w:tc>
        <w:tc>
          <w:tcPr>
            <w:tcW w:w="850" w:type="dxa"/>
            <w:tcBorders>
              <w:top w:val="nil"/>
            </w:tcBorders>
            <w:shd w:val="clear" w:color="auto" w:fill="auto"/>
            <w:noWrap/>
            <w:vAlign w:val="center"/>
            <w:hideMark/>
          </w:tcPr>
          <w:p w14:paraId="2A515786"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0,576</w:t>
            </w:r>
          </w:p>
        </w:tc>
      </w:tr>
      <w:tr w:rsidR="00083549" w:rsidRPr="00083549" w14:paraId="6366590F" w14:textId="77777777" w:rsidTr="0096187D">
        <w:trPr>
          <w:trHeight w:val="300"/>
        </w:trPr>
        <w:tc>
          <w:tcPr>
            <w:tcW w:w="654" w:type="dxa"/>
            <w:tcBorders>
              <w:top w:val="nil"/>
            </w:tcBorders>
            <w:shd w:val="clear" w:color="auto" w:fill="auto"/>
            <w:noWrap/>
            <w:vAlign w:val="center"/>
            <w:hideMark/>
          </w:tcPr>
          <w:p w14:paraId="08A06F35"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CC7</w:t>
            </w:r>
          </w:p>
        </w:tc>
        <w:tc>
          <w:tcPr>
            <w:tcW w:w="1134" w:type="dxa"/>
            <w:tcBorders>
              <w:top w:val="nil"/>
              <w:right w:val="single" w:sz="4" w:space="0" w:color="auto"/>
            </w:tcBorders>
            <w:shd w:val="clear" w:color="auto" w:fill="auto"/>
            <w:noWrap/>
            <w:vAlign w:val="center"/>
            <w:hideMark/>
          </w:tcPr>
          <w:p w14:paraId="0DD709F1"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0,450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DA5132F"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0,647</w:t>
            </w:r>
          </w:p>
        </w:tc>
        <w:tc>
          <w:tcPr>
            <w:tcW w:w="1134" w:type="dxa"/>
            <w:tcBorders>
              <w:top w:val="nil"/>
              <w:left w:val="single" w:sz="4" w:space="0" w:color="auto"/>
              <w:bottom w:val="single" w:sz="4" w:space="0" w:color="auto"/>
            </w:tcBorders>
            <w:shd w:val="clear" w:color="auto" w:fill="auto"/>
            <w:noWrap/>
            <w:vAlign w:val="center"/>
            <w:hideMark/>
          </w:tcPr>
          <w:p w14:paraId="10DDA12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0,179</w:t>
            </w:r>
          </w:p>
        </w:tc>
        <w:tc>
          <w:tcPr>
            <w:tcW w:w="1134" w:type="dxa"/>
            <w:tcBorders>
              <w:top w:val="nil"/>
            </w:tcBorders>
            <w:shd w:val="clear" w:color="auto" w:fill="auto"/>
            <w:noWrap/>
            <w:vAlign w:val="center"/>
            <w:hideMark/>
          </w:tcPr>
          <w:p w14:paraId="217B4B87"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0,352</w:t>
            </w:r>
          </w:p>
        </w:tc>
        <w:tc>
          <w:tcPr>
            <w:tcW w:w="1134" w:type="dxa"/>
            <w:tcBorders>
              <w:top w:val="nil"/>
            </w:tcBorders>
            <w:shd w:val="clear" w:color="auto" w:fill="auto"/>
            <w:noWrap/>
            <w:vAlign w:val="center"/>
            <w:hideMark/>
          </w:tcPr>
          <w:p w14:paraId="120D3A09"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0,293</w:t>
            </w:r>
          </w:p>
        </w:tc>
        <w:tc>
          <w:tcPr>
            <w:tcW w:w="1134" w:type="dxa"/>
            <w:tcBorders>
              <w:top w:val="nil"/>
            </w:tcBorders>
            <w:shd w:val="clear" w:color="auto" w:fill="auto"/>
            <w:noWrap/>
            <w:vAlign w:val="center"/>
            <w:hideMark/>
          </w:tcPr>
          <w:p w14:paraId="20782365"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0,485</w:t>
            </w:r>
          </w:p>
        </w:tc>
        <w:tc>
          <w:tcPr>
            <w:tcW w:w="850" w:type="dxa"/>
            <w:tcBorders>
              <w:top w:val="nil"/>
            </w:tcBorders>
            <w:shd w:val="clear" w:color="auto" w:fill="auto"/>
            <w:noWrap/>
            <w:vAlign w:val="center"/>
            <w:hideMark/>
          </w:tcPr>
          <w:p w14:paraId="3BF28F0A"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0,318</w:t>
            </w:r>
          </w:p>
        </w:tc>
      </w:tr>
      <w:tr w:rsidR="00083549" w:rsidRPr="00083549" w14:paraId="184913DA" w14:textId="77777777" w:rsidTr="0096187D">
        <w:trPr>
          <w:trHeight w:val="300"/>
        </w:trPr>
        <w:tc>
          <w:tcPr>
            <w:tcW w:w="654" w:type="dxa"/>
            <w:tcBorders>
              <w:top w:val="nil"/>
            </w:tcBorders>
            <w:shd w:val="clear" w:color="auto" w:fill="auto"/>
            <w:noWrap/>
            <w:vAlign w:val="center"/>
            <w:hideMark/>
          </w:tcPr>
          <w:p w14:paraId="687379E6"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PC1</w:t>
            </w:r>
          </w:p>
        </w:tc>
        <w:tc>
          <w:tcPr>
            <w:tcW w:w="1134" w:type="dxa"/>
            <w:tcBorders>
              <w:top w:val="nil"/>
            </w:tcBorders>
            <w:shd w:val="clear" w:color="auto" w:fill="auto"/>
            <w:noWrap/>
            <w:vAlign w:val="center"/>
            <w:hideMark/>
          </w:tcPr>
          <w:p w14:paraId="31186A8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0,110</w:t>
            </w:r>
          </w:p>
        </w:tc>
        <w:tc>
          <w:tcPr>
            <w:tcW w:w="1843" w:type="dxa"/>
            <w:tcBorders>
              <w:top w:val="single" w:sz="4" w:space="0" w:color="auto"/>
              <w:right w:val="single" w:sz="4" w:space="0" w:color="auto"/>
            </w:tcBorders>
            <w:shd w:val="clear" w:color="auto" w:fill="auto"/>
            <w:noWrap/>
            <w:vAlign w:val="center"/>
            <w:hideMark/>
          </w:tcPr>
          <w:p w14:paraId="10BAE40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0,290</w:t>
            </w:r>
          </w:p>
        </w:tc>
        <w:tc>
          <w:tcPr>
            <w:tcW w:w="1134" w:type="dxa"/>
            <w:tcBorders>
              <w:top w:val="single" w:sz="4" w:space="0" w:color="auto"/>
              <w:left w:val="single" w:sz="4" w:space="0" w:color="auto"/>
              <w:right w:val="single" w:sz="4" w:space="0" w:color="auto"/>
            </w:tcBorders>
            <w:shd w:val="clear" w:color="auto" w:fill="auto"/>
            <w:noWrap/>
            <w:vAlign w:val="center"/>
            <w:hideMark/>
          </w:tcPr>
          <w:p w14:paraId="6CCAC279"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0,891</w:t>
            </w:r>
          </w:p>
        </w:tc>
        <w:tc>
          <w:tcPr>
            <w:tcW w:w="1134" w:type="dxa"/>
            <w:tcBorders>
              <w:top w:val="nil"/>
              <w:left w:val="single" w:sz="4" w:space="0" w:color="auto"/>
            </w:tcBorders>
            <w:shd w:val="clear" w:color="auto" w:fill="auto"/>
            <w:noWrap/>
            <w:vAlign w:val="center"/>
            <w:hideMark/>
          </w:tcPr>
          <w:p w14:paraId="3993854F"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0,235</w:t>
            </w:r>
          </w:p>
        </w:tc>
        <w:tc>
          <w:tcPr>
            <w:tcW w:w="1134" w:type="dxa"/>
            <w:tcBorders>
              <w:top w:val="nil"/>
            </w:tcBorders>
            <w:shd w:val="clear" w:color="auto" w:fill="auto"/>
            <w:noWrap/>
            <w:vAlign w:val="center"/>
            <w:hideMark/>
          </w:tcPr>
          <w:p w14:paraId="6B6DEA29"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0,349</w:t>
            </w:r>
          </w:p>
        </w:tc>
        <w:tc>
          <w:tcPr>
            <w:tcW w:w="1134" w:type="dxa"/>
            <w:tcBorders>
              <w:top w:val="nil"/>
            </w:tcBorders>
            <w:shd w:val="clear" w:color="auto" w:fill="auto"/>
            <w:noWrap/>
            <w:vAlign w:val="center"/>
            <w:hideMark/>
          </w:tcPr>
          <w:p w14:paraId="72BD0527"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0,194</w:t>
            </w:r>
          </w:p>
        </w:tc>
        <w:tc>
          <w:tcPr>
            <w:tcW w:w="850" w:type="dxa"/>
            <w:tcBorders>
              <w:top w:val="nil"/>
            </w:tcBorders>
            <w:shd w:val="clear" w:color="auto" w:fill="auto"/>
            <w:noWrap/>
            <w:vAlign w:val="center"/>
            <w:hideMark/>
          </w:tcPr>
          <w:p w14:paraId="587B967D"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0,530</w:t>
            </w:r>
          </w:p>
        </w:tc>
      </w:tr>
      <w:tr w:rsidR="00083549" w:rsidRPr="00083549" w14:paraId="0FD91EBB" w14:textId="77777777" w:rsidTr="0096187D">
        <w:trPr>
          <w:trHeight w:val="300"/>
        </w:trPr>
        <w:tc>
          <w:tcPr>
            <w:tcW w:w="654" w:type="dxa"/>
            <w:tcBorders>
              <w:top w:val="nil"/>
            </w:tcBorders>
            <w:shd w:val="clear" w:color="auto" w:fill="auto"/>
            <w:noWrap/>
            <w:vAlign w:val="center"/>
            <w:hideMark/>
          </w:tcPr>
          <w:p w14:paraId="468B4EE3"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PC2</w:t>
            </w:r>
          </w:p>
        </w:tc>
        <w:tc>
          <w:tcPr>
            <w:tcW w:w="1134" w:type="dxa"/>
            <w:tcBorders>
              <w:top w:val="nil"/>
            </w:tcBorders>
            <w:shd w:val="clear" w:color="auto" w:fill="auto"/>
            <w:noWrap/>
            <w:vAlign w:val="center"/>
            <w:hideMark/>
          </w:tcPr>
          <w:p w14:paraId="695E393F"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0,200</w:t>
            </w:r>
          </w:p>
        </w:tc>
        <w:tc>
          <w:tcPr>
            <w:tcW w:w="1843" w:type="dxa"/>
            <w:tcBorders>
              <w:top w:val="nil"/>
              <w:right w:val="single" w:sz="4" w:space="0" w:color="auto"/>
            </w:tcBorders>
            <w:shd w:val="clear" w:color="auto" w:fill="auto"/>
            <w:noWrap/>
            <w:vAlign w:val="center"/>
            <w:hideMark/>
          </w:tcPr>
          <w:p w14:paraId="5EC71D79"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0,407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7C280E7"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0,947</w:t>
            </w:r>
          </w:p>
        </w:tc>
        <w:tc>
          <w:tcPr>
            <w:tcW w:w="1134" w:type="dxa"/>
            <w:tcBorders>
              <w:top w:val="nil"/>
              <w:left w:val="single" w:sz="4" w:space="0" w:color="auto"/>
              <w:bottom w:val="single" w:sz="4" w:space="0" w:color="auto"/>
            </w:tcBorders>
            <w:shd w:val="clear" w:color="auto" w:fill="auto"/>
            <w:noWrap/>
            <w:vAlign w:val="center"/>
            <w:hideMark/>
          </w:tcPr>
          <w:p w14:paraId="1BD7DE8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0,345</w:t>
            </w:r>
          </w:p>
        </w:tc>
        <w:tc>
          <w:tcPr>
            <w:tcW w:w="1134" w:type="dxa"/>
            <w:tcBorders>
              <w:top w:val="nil"/>
            </w:tcBorders>
            <w:shd w:val="clear" w:color="auto" w:fill="auto"/>
            <w:noWrap/>
            <w:vAlign w:val="center"/>
            <w:hideMark/>
          </w:tcPr>
          <w:p w14:paraId="437FEAB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0,501</w:t>
            </w:r>
          </w:p>
        </w:tc>
        <w:tc>
          <w:tcPr>
            <w:tcW w:w="1134" w:type="dxa"/>
            <w:tcBorders>
              <w:top w:val="nil"/>
            </w:tcBorders>
            <w:shd w:val="clear" w:color="auto" w:fill="auto"/>
            <w:noWrap/>
            <w:vAlign w:val="center"/>
            <w:hideMark/>
          </w:tcPr>
          <w:p w14:paraId="1D5CE90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0,344</w:t>
            </w:r>
          </w:p>
        </w:tc>
        <w:tc>
          <w:tcPr>
            <w:tcW w:w="850" w:type="dxa"/>
            <w:tcBorders>
              <w:top w:val="nil"/>
            </w:tcBorders>
            <w:shd w:val="clear" w:color="auto" w:fill="auto"/>
            <w:noWrap/>
            <w:vAlign w:val="center"/>
            <w:hideMark/>
          </w:tcPr>
          <w:p w14:paraId="10650E0F"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0,698</w:t>
            </w:r>
          </w:p>
        </w:tc>
      </w:tr>
      <w:tr w:rsidR="00083549" w:rsidRPr="00083549" w14:paraId="4DFE3922" w14:textId="77777777" w:rsidTr="0096187D">
        <w:trPr>
          <w:trHeight w:val="300"/>
        </w:trPr>
        <w:tc>
          <w:tcPr>
            <w:tcW w:w="654" w:type="dxa"/>
            <w:tcBorders>
              <w:top w:val="nil"/>
            </w:tcBorders>
            <w:shd w:val="clear" w:color="auto" w:fill="auto"/>
            <w:noWrap/>
            <w:vAlign w:val="center"/>
            <w:hideMark/>
          </w:tcPr>
          <w:p w14:paraId="177CB823"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SAV1</w:t>
            </w:r>
          </w:p>
        </w:tc>
        <w:tc>
          <w:tcPr>
            <w:tcW w:w="1134" w:type="dxa"/>
            <w:tcBorders>
              <w:top w:val="nil"/>
            </w:tcBorders>
            <w:shd w:val="clear" w:color="auto" w:fill="auto"/>
            <w:noWrap/>
            <w:vAlign w:val="center"/>
            <w:hideMark/>
          </w:tcPr>
          <w:p w14:paraId="26B0E624"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0,322</w:t>
            </w:r>
          </w:p>
        </w:tc>
        <w:tc>
          <w:tcPr>
            <w:tcW w:w="1843" w:type="dxa"/>
            <w:tcBorders>
              <w:top w:val="nil"/>
            </w:tcBorders>
            <w:shd w:val="clear" w:color="auto" w:fill="auto"/>
            <w:noWrap/>
            <w:vAlign w:val="center"/>
            <w:hideMark/>
          </w:tcPr>
          <w:p w14:paraId="6B79BB3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0,440</w:t>
            </w:r>
          </w:p>
        </w:tc>
        <w:tc>
          <w:tcPr>
            <w:tcW w:w="1134" w:type="dxa"/>
            <w:tcBorders>
              <w:top w:val="single" w:sz="4" w:space="0" w:color="auto"/>
              <w:right w:val="single" w:sz="4" w:space="0" w:color="auto"/>
            </w:tcBorders>
            <w:shd w:val="clear" w:color="auto" w:fill="auto"/>
            <w:noWrap/>
            <w:vAlign w:val="center"/>
            <w:hideMark/>
          </w:tcPr>
          <w:p w14:paraId="3810C391"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0,357</w:t>
            </w:r>
          </w:p>
        </w:tc>
        <w:tc>
          <w:tcPr>
            <w:tcW w:w="1134" w:type="dxa"/>
            <w:tcBorders>
              <w:top w:val="single" w:sz="4" w:space="0" w:color="auto"/>
              <w:left w:val="single" w:sz="4" w:space="0" w:color="auto"/>
              <w:right w:val="single" w:sz="4" w:space="0" w:color="auto"/>
            </w:tcBorders>
            <w:shd w:val="clear" w:color="auto" w:fill="auto"/>
            <w:noWrap/>
            <w:vAlign w:val="center"/>
            <w:hideMark/>
          </w:tcPr>
          <w:p w14:paraId="762B5256"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0,816</w:t>
            </w:r>
          </w:p>
        </w:tc>
        <w:tc>
          <w:tcPr>
            <w:tcW w:w="1134" w:type="dxa"/>
            <w:tcBorders>
              <w:top w:val="nil"/>
              <w:left w:val="single" w:sz="4" w:space="0" w:color="auto"/>
            </w:tcBorders>
            <w:shd w:val="clear" w:color="auto" w:fill="auto"/>
            <w:noWrap/>
            <w:vAlign w:val="center"/>
            <w:hideMark/>
          </w:tcPr>
          <w:p w14:paraId="7702A41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0,499</w:t>
            </w:r>
          </w:p>
        </w:tc>
        <w:tc>
          <w:tcPr>
            <w:tcW w:w="1134" w:type="dxa"/>
            <w:tcBorders>
              <w:top w:val="nil"/>
            </w:tcBorders>
            <w:shd w:val="clear" w:color="auto" w:fill="auto"/>
            <w:noWrap/>
            <w:vAlign w:val="center"/>
            <w:hideMark/>
          </w:tcPr>
          <w:p w14:paraId="3B5D7067"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0,611</w:t>
            </w:r>
          </w:p>
        </w:tc>
        <w:tc>
          <w:tcPr>
            <w:tcW w:w="850" w:type="dxa"/>
            <w:tcBorders>
              <w:top w:val="nil"/>
            </w:tcBorders>
            <w:shd w:val="clear" w:color="auto" w:fill="auto"/>
            <w:noWrap/>
            <w:vAlign w:val="center"/>
            <w:hideMark/>
          </w:tcPr>
          <w:p w14:paraId="0AADF0DE"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0,480</w:t>
            </w:r>
          </w:p>
        </w:tc>
      </w:tr>
      <w:tr w:rsidR="00083549" w:rsidRPr="00083549" w14:paraId="68513C5E" w14:textId="77777777" w:rsidTr="0096187D">
        <w:trPr>
          <w:trHeight w:val="300"/>
        </w:trPr>
        <w:tc>
          <w:tcPr>
            <w:tcW w:w="654" w:type="dxa"/>
            <w:tcBorders>
              <w:top w:val="nil"/>
            </w:tcBorders>
            <w:shd w:val="clear" w:color="auto" w:fill="auto"/>
            <w:noWrap/>
            <w:vAlign w:val="center"/>
            <w:hideMark/>
          </w:tcPr>
          <w:p w14:paraId="2CE2A7F1"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SAV2</w:t>
            </w:r>
          </w:p>
        </w:tc>
        <w:tc>
          <w:tcPr>
            <w:tcW w:w="1134" w:type="dxa"/>
            <w:tcBorders>
              <w:top w:val="nil"/>
            </w:tcBorders>
            <w:shd w:val="clear" w:color="auto" w:fill="auto"/>
            <w:noWrap/>
            <w:vAlign w:val="center"/>
            <w:hideMark/>
          </w:tcPr>
          <w:p w14:paraId="0E51932F"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0,404</w:t>
            </w:r>
          </w:p>
        </w:tc>
        <w:tc>
          <w:tcPr>
            <w:tcW w:w="1843" w:type="dxa"/>
            <w:tcBorders>
              <w:top w:val="nil"/>
            </w:tcBorders>
            <w:shd w:val="clear" w:color="auto" w:fill="auto"/>
            <w:noWrap/>
            <w:vAlign w:val="center"/>
            <w:hideMark/>
          </w:tcPr>
          <w:p w14:paraId="6A882240"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0,327</w:t>
            </w:r>
          </w:p>
        </w:tc>
        <w:tc>
          <w:tcPr>
            <w:tcW w:w="1134" w:type="dxa"/>
            <w:tcBorders>
              <w:top w:val="nil"/>
              <w:right w:val="single" w:sz="4" w:space="0" w:color="auto"/>
            </w:tcBorders>
            <w:shd w:val="clear" w:color="auto" w:fill="auto"/>
            <w:noWrap/>
            <w:vAlign w:val="center"/>
            <w:hideMark/>
          </w:tcPr>
          <w:p w14:paraId="0396E997"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0,227</w:t>
            </w:r>
          </w:p>
        </w:tc>
        <w:tc>
          <w:tcPr>
            <w:tcW w:w="1134" w:type="dxa"/>
            <w:tcBorders>
              <w:top w:val="nil"/>
              <w:left w:val="single" w:sz="4" w:space="0" w:color="auto"/>
              <w:right w:val="single" w:sz="4" w:space="0" w:color="auto"/>
            </w:tcBorders>
            <w:shd w:val="clear" w:color="auto" w:fill="auto"/>
            <w:noWrap/>
            <w:vAlign w:val="center"/>
            <w:hideMark/>
          </w:tcPr>
          <w:p w14:paraId="4F8BEE64"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0,842</w:t>
            </w:r>
          </w:p>
        </w:tc>
        <w:tc>
          <w:tcPr>
            <w:tcW w:w="1134" w:type="dxa"/>
            <w:tcBorders>
              <w:top w:val="nil"/>
              <w:left w:val="single" w:sz="4" w:space="0" w:color="auto"/>
            </w:tcBorders>
            <w:shd w:val="clear" w:color="auto" w:fill="auto"/>
            <w:noWrap/>
            <w:vAlign w:val="center"/>
            <w:hideMark/>
          </w:tcPr>
          <w:p w14:paraId="4645566F"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0,396</w:t>
            </w:r>
          </w:p>
        </w:tc>
        <w:tc>
          <w:tcPr>
            <w:tcW w:w="1134" w:type="dxa"/>
            <w:tcBorders>
              <w:top w:val="nil"/>
            </w:tcBorders>
            <w:shd w:val="clear" w:color="auto" w:fill="auto"/>
            <w:noWrap/>
            <w:vAlign w:val="center"/>
            <w:hideMark/>
          </w:tcPr>
          <w:p w14:paraId="6D11AD9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0,508</w:t>
            </w:r>
          </w:p>
        </w:tc>
        <w:tc>
          <w:tcPr>
            <w:tcW w:w="850" w:type="dxa"/>
            <w:tcBorders>
              <w:top w:val="nil"/>
            </w:tcBorders>
            <w:shd w:val="clear" w:color="auto" w:fill="auto"/>
            <w:noWrap/>
            <w:vAlign w:val="center"/>
            <w:hideMark/>
          </w:tcPr>
          <w:p w14:paraId="5A3CC4A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0,298</w:t>
            </w:r>
          </w:p>
        </w:tc>
      </w:tr>
      <w:tr w:rsidR="00083549" w:rsidRPr="00083549" w14:paraId="7BBD7524" w14:textId="77777777" w:rsidTr="0096187D">
        <w:trPr>
          <w:trHeight w:val="300"/>
        </w:trPr>
        <w:tc>
          <w:tcPr>
            <w:tcW w:w="654" w:type="dxa"/>
            <w:tcBorders>
              <w:top w:val="nil"/>
            </w:tcBorders>
            <w:shd w:val="clear" w:color="auto" w:fill="auto"/>
            <w:noWrap/>
            <w:vAlign w:val="center"/>
            <w:hideMark/>
          </w:tcPr>
          <w:p w14:paraId="0F85CC1A"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SAV3</w:t>
            </w:r>
          </w:p>
        </w:tc>
        <w:tc>
          <w:tcPr>
            <w:tcW w:w="1134" w:type="dxa"/>
            <w:tcBorders>
              <w:top w:val="nil"/>
            </w:tcBorders>
            <w:shd w:val="clear" w:color="auto" w:fill="auto"/>
            <w:noWrap/>
            <w:vAlign w:val="center"/>
            <w:hideMark/>
          </w:tcPr>
          <w:p w14:paraId="1AF3AEC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0,457</w:t>
            </w:r>
          </w:p>
        </w:tc>
        <w:tc>
          <w:tcPr>
            <w:tcW w:w="1843" w:type="dxa"/>
            <w:tcBorders>
              <w:top w:val="nil"/>
            </w:tcBorders>
            <w:shd w:val="clear" w:color="auto" w:fill="auto"/>
            <w:noWrap/>
            <w:vAlign w:val="center"/>
            <w:hideMark/>
          </w:tcPr>
          <w:p w14:paraId="1184DE04"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0,418</w:t>
            </w:r>
          </w:p>
        </w:tc>
        <w:tc>
          <w:tcPr>
            <w:tcW w:w="1134" w:type="dxa"/>
            <w:tcBorders>
              <w:top w:val="nil"/>
              <w:right w:val="single" w:sz="4" w:space="0" w:color="auto"/>
            </w:tcBorders>
            <w:shd w:val="clear" w:color="auto" w:fill="auto"/>
            <w:noWrap/>
            <w:vAlign w:val="center"/>
            <w:hideMark/>
          </w:tcPr>
          <w:p w14:paraId="3145EB2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0,229</w:t>
            </w:r>
          </w:p>
        </w:tc>
        <w:tc>
          <w:tcPr>
            <w:tcW w:w="1134" w:type="dxa"/>
            <w:tcBorders>
              <w:top w:val="nil"/>
              <w:left w:val="single" w:sz="4" w:space="0" w:color="auto"/>
              <w:right w:val="single" w:sz="4" w:space="0" w:color="auto"/>
            </w:tcBorders>
            <w:shd w:val="clear" w:color="auto" w:fill="auto"/>
            <w:noWrap/>
            <w:vAlign w:val="center"/>
            <w:hideMark/>
          </w:tcPr>
          <w:p w14:paraId="625A7395"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0,875</w:t>
            </w:r>
          </w:p>
        </w:tc>
        <w:tc>
          <w:tcPr>
            <w:tcW w:w="1134" w:type="dxa"/>
            <w:tcBorders>
              <w:top w:val="nil"/>
              <w:left w:val="single" w:sz="4" w:space="0" w:color="auto"/>
            </w:tcBorders>
            <w:shd w:val="clear" w:color="auto" w:fill="auto"/>
            <w:noWrap/>
            <w:vAlign w:val="center"/>
            <w:hideMark/>
          </w:tcPr>
          <w:p w14:paraId="4310FB1D"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0,460</w:t>
            </w:r>
          </w:p>
        </w:tc>
        <w:tc>
          <w:tcPr>
            <w:tcW w:w="1134" w:type="dxa"/>
            <w:tcBorders>
              <w:top w:val="nil"/>
            </w:tcBorders>
            <w:shd w:val="clear" w:color="auto" w:fill="auto"/>
            <w:noWrap/>
            <w:vAlign w:val="center"/>
            <w:hideMark/>
          </w:tcPr>
          <w:p w14:paraId="7D7E552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0,606</w:t>
            </w:r>
          </w:p>
        </w:tc>
        <w:tc>
          <w:tcPr>
            <w:tcW w:w="850" w:type="dxa"/>
            <w:tcBorders>
              <w:top w:val="nil"/>
            </w:tcBorders>
            <w:shd w:val="clear" w:color="auto" w:fill="auto"/>
            <w:noWrap/>
            <w:vAlign w:val="center"/>
            <w:hideMark/>
          </w:tcPr>
          <w:p w14:paraId="7295E6A0"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0,359</w:t>
            </w:r>
          </w:p>
        </w:tc>
      </w:tr>
      <w:tr w:rsidR="00083549" w:rsidRPr="00083549" w14:paraId="09A46486" w14:textId="77777777" w:rsidTr="0096187D">
        <w:trPr>
          <w:trHeight w:val="300"/>
        </w:trPr>
        <w:tc>
          <w:tcPr>
            <w:tcW w:w="654" w:type="dxa"/>
            <w:tcBorders>
              <w:top w:val="nil"/>
            </w:tcBorders>
            <w:shd w:val="clear" w:color="auto" w:fill="auto"/>
            <w:noWrap/>
            <w:vAlign w:val="center"/>
            <w:hideMark/>
          </w:tcPr>
          <w:p w14:paraId="2E43F15F"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SAV4</w:t>
            </w:r>
          </w:p>
        </w:tc>
        <w:tc>
          <w:tcPr>
            <w:tcW w:w="1134" w:type="dxa"/>
            <w:tcBorders>
              <w:top w:val="nil"/>
            </w:tcBorders>
            <w:shd w:val="clear" w:color="auto" w:fill="auto"/>
            <w:noWrap/>
            <w:vAlign w:val="center"/>
            <w:hideMark/>
          </w:tcPr>
          <w:p w14:paraId="7F8F96C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0,389</w:t>
            </w:r>
          </w:p>
        </w:tc>
        <w:tc>
          <w:tcPr>
            <w:tcW w:w="1843" w:type="dxa"/>
            <w:tcBorders>
              <w:top w:val="nil"/>
            </w:tcBorders>
            <w:shd w:val="clear" w:color="auto" w:fill="auto"/>
            <w:noWrap/>
            <w:vAlign w:val="center"/>
            <w:hideMark/>
          </w:tcPr>
          <w:p w14:paraId="42979B1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0,351</w:t>
            </w:r>
          </w:p>
        </w:tc>
        <w:tc>
          <w:tcPr>
            <w:tcW w:w="1134" w:type="dxa"/>
            <w:tcBorders>
              <w:top w:val="nil"/>
              <w:right w:val="single" w:sz="4" w:space="0" w:color="auto"/>
            </w:tcBorders>
            <w:shd w:val="clear" w:color="auto" w:fill="auto"/>
            <w:noWrap/>
            <w:vAlign w:val="center"/>
            <w:hideMark/>
          </w:tcPr>
          <w:p w14:paraId="4D25C30E"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0,260</w:t>
            </w:r>
          </w:p>
        </w:tc>
        <w:tc>
          <w:tcPr>
            <w:tcW w:w="1134" w:type="dxa"/>
            <w:tcBorders>
              <w:top w:val="nil"/>
              <w:left w:val="single" w:sz="4" w:space="0" w:color="auto"/>
              <w:right w:val="single" w:sz="4" w:space="0" w:color="auto"/>
            </w:tcBorders>
            <w:shd w:val="clear" w:color="auto" w:fill="auto"/>
            <w:noWrap/>
            <w:vAlign w:val="center"/>
            <w:hideMark/>
          </w:tcPr>
          <w:p w14:paraId="3CB8DA09"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0,818</w:t>
            </w:r>
          </w:p>
        </w:tc>
        <w:tc>
          <w:tcPr>
            <w:tcW w:w="1134" w:type="dxa"/>
            <w:tcBorders>
              <w:top w:val="nil"/>
              <w:left w:val="single" w:sz="4" w:space="0" w:color="auto"/>
            </w:tcBorders>
            <w:shd w:val="clear" w:color="auto" w:fill="auto"/>
            <w:noWrap/>
            <w:vAlign w:val="center"/>
            <w:hideMark/>
          </w:tcPr>
          <w:p w14:paraId="1A915EF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0,393</w:t>
            </w:r>
          </w:p>
        </w:tc>
        <w:tc>
          <w:tcPr>
            <w:tcW w:w="1134" w:type="dxa"/>
            <w:tcBorders>
              <w:top w:val="nil"/>
            </w:tcBorders>
            <w:shd w:val="clear" w:color="auto" w:fill="auto"/>
            <w:noWrap/>
            <w:vAlign w:val="center"/>
            <w:hideMark/>
          </w:tcPr>
          <w:p w14:paraId="55F4FF7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0,531</w:t>
            </w:r>
          </w:p>
        </w:tc>
        <w:tc>
          <w:tcPr>
            <w:tcW w:w="850" w:type="dxa"/>
            <w:tcBorders>
              <w:top w:val="nil"/>
            </w:tcBorders>
            <w:shd w:val="clear" w:color="auto" w:fill="auto"/>
            <w:noWrap/>
            <w:vAlign w:val="center"/>
            <w:hideMark/>
          </w:tcPr>
          <w:p w14:paraId="32F8B0D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0,379</w:t>
            </w:r>
          </w:p>
        </w:tc>
      </w:tr>
      <w:tr w:rsidR="00083549" w:rsidRPr="00083549" w14:paraId="517B1147" w14:textId="77777777" w:rsidTr="0096187D">
        <w:trPr>
          <w:trHeight w:val="300"/>
        </w:trPr>
        <w:tc>
          <w:tcPr>
            <w:tcW w:w="654" w:type="dxa"/>
            <w:tcBorders>
              <w:top w:val="nil"/>
            </w:tcBorders>
            <w:shd w:val="clear" w:color="auto" w:fill="auto"/>
            <w:noWrap/>
            <w:vAlign w:val="center"/>
            <w:hideMark/>
          </w:tcPr>
          <w:p w14:paraId="02B1224E"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SAV5</w:t>
            </w:r>
          </w:p>
        </w:tc>
        <w:tc>
          <w:tcPr>
            <w:tcW w:w="1134" w:type="dxa"/>
            <w:tcBorders>
              <w:top w:val="nil"/>
            </w:tcBorders>
            <w:shd w:val="clear" w:color="auto" w:fill="auto"/>
            <w:noWrap/>
            <w:vAlign w:val="center"/>
            <w:hideMark/>
          </w:tcPr>
          <w:p w14:paraId="607DB199"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0,405</w:t>
            </w:r>
          </w:p>
        </w:tc>
        <w:tc>
          <w:tcPr>
            <w:tcW w:w="1843" w:type="dxa"/>
            <w:tcBorders>
              <w:top w:val="nil"/>
            </w:tcBorders>
            <w:shd w:val="clear" w:color="auto" w:fill="auto"/>
            <w:noWrap/>
            <w:vAlign w:val="center"/>
            <w:hideMark/>
          </w:tcPr>
          <w:p w14:paraId="51131B51"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0,391</w:t>
            </w:r>
          </w:p>
        </w:tc>
        <w:tc>
          <w:tcPr>
            <w:tcW w:w="1134" w:type="dxa"/>
            <w:tcBorders>
              <w:top w:val="nil"/>
              <w:right w:val="single" w:sz="4" w:space="0" w:color="auto"/>
            </w:tcBorders>
            <w:shd w:val="clear" w:color="auto" w:fill="auto"/>
            <w:noWrap/>
            <w:vAlign w:val="center"/>
            <w:hideMark/>
          </w:tcPr>
          <w:p w14:paraId="650BD00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0,228</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137D7E9"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0,699</w:t>
            </w:r>
          </w:p>
        </w:tc>
        <w:tc>
          <w:tcPr>
            <w:tcW w:w="1134" w:type="dxa"/>
            <w:tcBorders>
              <w:top w:val="nil"/>
              <w:left w:val="single" w:sz="4" w:space="0" w:color="auto"/>
              <w:bottom w:val="single" w:sz="4" w:space="0" w:color="auto"/>
            </w:tcBorders>
            <w:shd w:val="clear" w:color="auto" w:fill="auto"/>
            <w:noWrap/>
            <w:vAlign w:val="center"/>
            <w:hideMark/>
          </w:tcPr>
          <w:p w14:paraId="2662D0CD"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0,372</w:t>
            </w:r>
          </w:p>
        </w:tc>
        <w:tc>
          <w:tcPr>
            <w:tcW w:w="1134" w:type="dxa"/>
            <w:tcBorders>
              <w:top w:val="nil"/>
            </w:tcBorders>
            <w:shd w:val="clear" w:color="auto" w:fill="auto"/>
            <w:noWrap/>
            <w:vAlign w:val="center"/>
            <w:hideMark/>
          </w:tcPr>
          <w:p w14:paraId="37F10311"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0,472</w:t>
            </w:r>
          </w:p>
        </w:tc>
        <w:tc>
          <w:tcPr>
            <w:tcW w:w="850" w:type="dxa"/>
            <w:tcBorders>
              <w:top w:val="nil"/>
            </w:tcBorders>
            <w:shd w:val="clear" w:color="auto" w:fill="auto"/>
            <w:noWrap/>
            <w:vAlign w:val="center"/>
            <w:hideMark/>
          </w:tcPr>
          <w:p w14:paraId="340F7EAA"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0,361</w:t>
            </w:r>
          </w:p>
        </w:tc>
      </w:tr>
      <w:tr w:rsidR="00083549" w:rsidRPr="00083549" w14:paraId="24A57E12" w14:textId="77777777" w:rsidTr="0096187D">
        <w:trPr>
          <w:trHeight w:val="300"/>
        </w:trPr>
        <w:tc>
          <w:tcPr>
            <w:tcW w:w="654" w:type="dxa"/>
            <w:tcBorders>
              <w:top w:val="nil"/>
            </w:tcBorders>
            <w:shd w:val="clear" w:color="auto" w:fill="auto"/>
            <w:noWrap/>
            <w:vAlign w:val="center"/>
            <w:hideMark/>
          </w:tcPr>
          <w:p w14:paraId="7952C29B"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SIV9</w:t>
            </w:r>
          </w:p>
        </w:tc>
        <w:tc>
          <w:tcPr>
            <w:tcW w:w="1134" w:type="dxa"/>
            <w:tcBorders>
              <w:top w:val="nil"/>
            </w:tcBorders>
            <w:shd w:val="clear" w:color="auto" w:fill="auto"/>
            <w:noWrap/>
            <w:vAlign w:val="center"/>
            <w:hideMark/>
          </w:tcPr>
          <w:p w14:paraId="7700B12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0,452</w:t>
            </w:r>
          </w:p>
        </w:tc>
        <w:tc>
          <w:tcPr>
            <w:tcW w:w="1843" w:type="dxa"/>
            <w:tcBorders>
              <w:top w:val="nil"/>
            </w:tcBorders>
            <w:shd w:val="clear" w:color="auto" w:fill="auto"/>
            <w:noWrap/>
            <w:vAlign w:val="center"/>
            <w:hideMark/>
          </w:tcPr>
          <w:p w14:paraId="70987D3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0,359</w:t>
            </w:r>
          </w:p>
        </w:tc>
        <w:tc>
          <w:tcPr>
            <w:tcW w:w="1134" w:type="dxa"/>
            <w:tcBorders>
              <w:top w:val="nil"/>
            </w:tcBorders>
            <w:shd w:val="clear" w:color="auto" w:fill="auto"/>
            <w:noWrap/>
            <w:vAlign w:val="center"/>
            <w:hideMark/>
          </w:tcPr>
          <w:p w14:paraId="2509217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0,304</w:t>
            </w:r>
          </w:p>
        </w:tc>
        <w:tc>
          <w:tcPr>
            <w:tcW w:w="1134" w:type="dxa"/>
            <w:tcBorders>
              <w:top w:val="single" w:sz="4" w:space="0" w:color="auto"/>
              <w:right w:val="single" w:sz="4" w:space="0" w:color="auto"/>
            </w:tcBorders>
            <w:shd w:val="clear" w:color="auto" w:fill="auto"/>
            <w:noWrap/>
            <w:vAlign w:val="center"/>
            <w:hideMark/>
          </w:tcPr>
          <w:p w14:paraId="6A55B4C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0,276</w:t>
            </w:r>
          </w:p>
        </w:tc>
        <w:tc>
          <w:tcPr>
            <w:tcW w:w="1134" w:type="dxa"/>
            <w:tcBorders>
              <w:top w:val="single" w:sz="4" w:space="0" w:color="auto"/>
              <w:left w:val="single" w:sz="4" w:space="0" w:color="auto"/>
              <w:right w:val="single" w:sz="4" w:space="0" w:color="auto"/>
            </w:tcBorders>
            <w:shd w:val="clear" w:color="auto" w:fill="auto"/>
            <w:noWrap/>
            <w:vAlign w:val="center"/>
            <w:hideMark/>
          </w:tcPr>
          <w:p w14:paraId="75047135"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0,647</w:t>
            </w:r>
          </w:p>
        </w:tc>
        <w:tc>
          <w:tcPr>
            <w:tcW w:w="1134" w:type="dxa"/>
            <w:tcBorders>
              <w:top w:val="nil"/>
              <w:left w:val="single" w:sz="4" w:space="0" w:color="auto"/>
            </w:tcBorders>
            <w:shd w:val="clear" w:color="auto" w:fill="auto"/>
            <w:noWrap/>
            <w:vAlign w:val="center"/>
            <w:hideMark/>
          </w:tcPr>
          <w:p w14:paraId="4677EC5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0,271</w:t>
            </w:r>
          </w:p>
        </w:tc>
        <w:tc>
          <w:tcPr>
            <w:tcW w:w="850" w:type="dxa"/>
            <w:tcBorders>
              <w:top w:val="nil"/>
            </w:tcBorders>
            <w:shd w:val="clear" w:color="auto" w:fill="auto"/>
            <w:noWrap/>
            <w:vAlign w:val="center"/>
            <w:hideMark/>
          </w:tcPr>
          <w:p w14:paraId="01B1FF8D"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0,305</w:t>
            </w:r>
          </w:p>
        </w:tc>
      </w:tr>
      <w:tr w:rsidR="00083549" w:rsidRPr="00083549" w14:paraId="7EC91308" w14:textId="77777777" w:rsidTr="0096187D">
        <w:trPr>
          <w:trHeight w:val="300"/>
        </w:trPr>
        <w:tc>
          <w:tcPr>
            <w:tcW w:w="654" w:type="dxa"/>
            <w:tcBorders>
              <w:top w:val="nil"/>
            </w:tcBorders>
            <w:shd w:val="clear" w:color="auto" w:fill="auto"/>
            <w:noWrap/>
            <w:vAlign w:val="center"/>
            <w:hideMark/>
          </w:tcPr>
          <w:p w14:paraId="7BE234B5"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SIV1</w:t>
            </w:r>
          </w:p>
        </w:tc>
        <w:tc>
          <w:tcPr>
            <w:tcW w:w="1134" w:type="dxa"/>
            <w:tcBorders>
              <w:top w:val="nil"/>
            </w:tcBorders>
            <w:shd w:val="clear" w:color="auto" w:fill="auto"/>
            <w:noWrap/>
            <w:vAlign w:val="center"/>
            <w:hideMark/>
          </w:tcPr>
          <w:p w14:paraId="300CEF21"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0,309</w:t>
            </w:r>
          </w:p>
        </w:tc>
        <w:tc>
          <w:tcPr>
            <w:tcW w:w="1843" w:type="dxa"/>
            <w:tcBorders>
              <w:top w:val="nil"/>
            </w:tcBorders>
            <w:shd w:val="clear" w:color="auto" w:fill="auto"/>
            <w:noWrap/>
            <w:vAlign w:val="center"/>
            <w:hideMark/>
          </w:tcPr>
          <w:p w14:paraId="7B3E83B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0,272</w:t>
            </w:r>
          </w:p>
        </w:tc>
        <w:tc>
          <w:tcPr>
            <w:tcW w:w="1134" w:type="dxa"/>
            <w:tcBorders>
              <w:top w:val="nil"/>
            </w:tcBorders>
            <w:shd w:val="clear" w:color="auto" w:fill="auto"/>
            <w:noWrap/>
            <w:vAlign w:val="center"/>
            <w:hideMark/>
          </w:tcPr>
          <w:p w14:paraId="284F6B81"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0,396</w:t>
            </w:r>
          </w:p>
        </w:tc>
        <w:tc>
          <w:tcPr>
            <w:tcW w:w="1134" w:type="dxa"/>
            <w:tcBorders>
              <w:top w:val="nil"/>
              <w:right w:val="single" w:sz="4" w:space="0" w:color="auto"/>
            </w:tcBorders>
            <w:shd w:val="clear" w:color="auto" w:fill="auto"/>
            <w:noWrap/>
            <w:vAlign w:val="center"/>
            <w:hideMark/>
          </w:tcPr>
          <w:p w14:paraId="09DC08E9"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0,512</w:t>
            </w:r>
          </w:p>
        </w:tc>
        <w:tc>
          <w:tcPr>
            <w:tcW w:w="1134" w:type="dxa"/>
            <w:tcBorders>
              <w:top w:val="nil"/>
              <w:left w:val="single" w:sz="4" w:space="0" w:color="auto"/>
              <w:right w:val="single" w:sz="4" w:space="0" w:color="auto"/>
            </w:tcBorders>
            <w:shd w:val="clear" w:color="auto" w:fill="auto"/>
            <w:noWrap/>
            <w:vAlign w:val="center"/>
            <w:hideMark/>
          </w:tcPr>
          <w:p w14:paraId="594E8C57"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0,833</w:t>
            </w:r>
          </w:p>
        </w:tc>
        <w:tc>
          <w:tcPr>
            <w:tcW w:w="1134" w:type="dxa"/>
            <w:tcBorders>
              <w:top w:val="nil"/>
              <w:left w:val="single" w:sz="4" w:space="0" w:color="auto"/>
            </w:tcBorders>
            <w:shd w:val="clear" w:color="auto" w:fill="auto"/>
            <w:noWrap/>
            <w:vAlign w:val="center"/>
            <w:hideMark/>
          </w:tcPr>
          <w:p w14:paraId="356ABA3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0,341</w:t>
            </w:r>
          </w:p>
        </w:tc>
        <w:tc>
          <w:tcPr>
            <w:tcW w:w="850" w:type="dxa"/>
            <w:tcBorders>
              <w:top w:val="nil"/>
            </w:tcBorders>
            <w:shd w:val="clear" w:color="auto" w:fill="auto"/>
            <w:noWrap/>
            <w:vAlign w:val="center"/>
            <w:hideMark/>
          </w:tcPr>
          <w:p w14:paraId="5A76132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0,395</w:t>
            </w:r>
          </w:p>
        </w:tc>
      </w:tr>
      <w:tr w:rsidR="00083549" w:rsidRPr="00083549" w14:paraId="0596AEBF" w14:textId="77777777" w:rsidTr="0096187D">
        <w:trPr>
          <w:trHeight w:val="300"/>
        </w:trPr>
        <w:tc>
          <w:tcPr>
            <w:tcW w:w="654" w:type="dxa"/>
            <w:tcBorders>
              <w:top w:val="nil"/>
            </w:tcBorders>
            <w:shd w:val="clear" w:color="auto" w:fill="auto"/>
            <w:noWrap/>
            <w:vAlign w:val="center"/>
            <w:hideMark/>
          </w:tcPr>
          <w:p w14:paraId="02EC1AA3"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SIV4</w:t>
            </w:r>
          </w:p>
        </w:tc>
        <w:tc>
          <w:tcPr>
            <w:tcW w:w="1134" w:type="dxa"/>
            <w:tcBorders>
              <w:top w:val="nil"/>
            </w:tcBorders>
            <w:shd w:val="clear" w:color="auto" w:fill="auto"/>
            <w:noWrap/>
            <w:vAlign w:val="center"/>
            <w:hideMark/>
          </w:tcPr>
          <w:p w14:paraId="36C69517"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0,271</w:t>
            </w:r>
          </w:p>
        </w:tc>
        <w:tc>
          <w:tcPr>
            <w:tcW w:w="1843" w:type="dxa"/>
            <w:tcBorders>
              <w:top w:val="nil"/>
            </w:tcBorders>
            <w:shd w:val="clear" w:color="auto" w:fill="auto"/>
            <w:noWrap/>
            <w:vAlign w:val="center"/>
            <w:hideMark/>
          </w:tcPr>
          <w:p w14:paraId="7B525DD5"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0,320</w:t>
            </w:r>
          </w:p>
        </w:tc>
        <w:tc>
          <w:tcPr>
            <w:tcW w:w="1134" w:type="dxa"/>
            <w:tcBorders>
              <w:top w:val="nil"/>
            </w:tcBorders>
            <w:shd w:val="clear" w:color="auto" w:fill="auto"/>
            <w:noWrap/>
            <w:vAlign w:val="center"/>
            <w:hideMark/>
          </w:tcPr>
          <w:p w14:paraId="21E6BA5A"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0,397</w:t>
            </w:r>
          </w:p>
        </w:tc>
        <w:tc>
          <w:tcPr>
            <w:tcW w:w="1134" w:type="dxa"/>
            <w:tcBorders>
              <w:top w:val="nil"/>
              <w:right w:val="single" w:sz="4" w:space="0" w:color="auto"/>
            </w:tcBorders>
            <w:shd w:val="clear" w:color="auto" w:fill="auto"/>
            <w:noWrap/>
            <w:vAlign w:val="center"/>
            <w:hideMark/>
          </w:tcPr>
          <w:p w14:paraId="2B87DFD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0,440</w:t>
            </w:r>
          </w:p>
        </w:tc>
        <w:tc>
          <w:tcPr>
            <w:tcW w:w="1134" w:type="dxa"/>
            <w:tcBorders>
              <w:top w:val="nil"/>
              <w:left w:val="single" w:sz="4" w:space="0" w:color="auto"/>
              <w:right w:val="single" w:sz="4" w:space="0" w:color="auto"/>
            </w:tcBorders>
            <w:shd w:val="clear" w:color="auto" w:fill="auto"/>
            <w:noWrap/>
            <w:vAlign w:val="center"/>
            <w:hideMark/>
          </w:tcPr>
          <w:p w14:paraId="16A33072"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0,861</w:t>
            </w:r>
          </w:p>
        </w:tc>
        <w:tc>
          <w:tcPr>
            <w:tcW w:w="1134" w:type="dxa"/>
            <w:tcBorders>
              <w:top w:val="nil"/>
              <w:left w:val="single" w:sz="4" w:space="0" w:color="auto"/>
            </w:tcBorders>
            <w:shd w:val="clear" w:color="auto" w:fill="auto"/>
            <w:noWrap/>
            <w:vAlign w:val="center"/>
            <w:hideMark/>
          </w:tcPr>
          <w:p w14:paraId="0D864A20"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0,293</w:t>
            </w:r>
          </w:p>
        </w:tc>
        <w:tc>
          <w:tcPr>
            <w:tcW w:w="850" w:type="dxa"/>
            <w:tcBorders>
              <w:top w:val="nil"/>
            </w:tcBorders>
            <w:shd w:val="clear" w:color="auto" w:fill="auto"/>
            <w:noWrap/>
            <w:vAlign w:val="center"/>
            <w:hideMark/>
          </w:tcPr>
          <w:p w14:paraId="73D676C1"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0,403</w:t>
            </w:r>
          </w:p>
        </w:tc>
      </w:tr>
      <w:tr w:rsidR="00083549" w:rsidRPr="00083549" w14:paraId="6122B6E5" w14:textId="77777777" w:rsidTr="0096187D">
        <w:trPr>
          <w:trHeight w:val="300"/>
        </w:trPr>
        <w:tc>
          <w:tcPr>
            <w:tcW w:w="654" w:type="dxa"/>
            <w:tcBorders>
              <w:top w:val="nil"/>
            </w:tcBorders>
            <w:shd w:val="clear" w:color="auto" w:fill="auto"/>
            <w:noWrap/>
            <w:vAlign w:val="center"/>
            <w:hideMark/>
          </w:tcPr>
          <w:p w14:paraId="00BA86C5"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SIV5</w:t>
            </w:r>
          </w:p>
        </w:tc>
        <w:tc>
          <w:tcPr>
            <w:tcW w:w="1134" w:type="dxa"/>
            <w:tcBorders>
              <w:top w:val="nil"/>
            </w:tcBorders>
            <w:shd w:val="clear" w:color="auto" w:fill="auto"/>
            <w:noWrap/>
            <w:vAlign w:val="center"/>
            <w:hideMark/>
          </w:tcPr>
          <w:p w14:paraId="0ED0DB95"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0,297</w:t>
            </w:r>
          </w:p>
        </w:tc>
        <w:tc>
          <w:tcPr>
            <w:tcW w:w="1843" w:type="dxa"/>
            <w:tcBorders>
              <w:top w:val="nil"/>
            </w:tcBorders>
            <w:shd w:val="clear" w:color="auto" w:fill="auto"/>
            <w:noWrap/>
            <w:vAlign w:val="center"/>
            <w:hideMark/>
          </w:tcPr>
          <w:p w14:paraId="7D849674"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0,318</w:t>
            </w:r>
          </w:p>
        </w:tc>
        <w:tc>
          <w:tcPr>
            <w:tcW w:w="1134" w:type="dxa"/>
            <w:tcBorders>
              <w:top w:val="nil"/>
            </w:tcBorders>
            <w:shd w:val="clear" w:color="auto" w:fill="auto"/>
            <w:noWrap/>
            <w:vAlign w:val="center"/>
            <w:hideMark/>
          </w:tcPr>
          <w:p w14:paraId="628CD5BD"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0,379</w:t>
            </w:r>
          </w:p>
        </w:tc>
        <w:tc>
          <w:tcPr>
            <w:tcW w:w="1134" w:type="dxa"/>
            <w:tcBorders>
              <w:top w:val="nil"/>
              <w:right w:val="single" w:sz="4" w:space="0" w:color="auto"/>
            </w:tcBorders>
            <w:shd w:val="clear" w:color="auto" w:fill="auto"/>
            <w:noWrap/>
            <w:vAlign w:val="center"/>
            <w:hideMark/>
          </w:tcPr>
          <w:p w14:paraId="4FF0A3FA"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0,432</w:t>
            </w:r>
          </w:p>
        </w:tc>
        <w:tc>
          <w:tcPr>
            <w:tcW w:w="1134" w:type="dxa"/>
            <w:tcBorders>
              <w:top w:val="nil"/>
              <w:left w:val="single" w:sz="4" w:space="0" w:color="auto"/>
              <w:right w:val="single" w:sz="4" w:space="0" w:color="auto"/>
            </w:tcBorders>
            <w:shd w:val="clear" w:color="auto" w:fill="auto"/>
            <w:noWrap/>
            <w:vAlign w:val="center"/>
            <w:hideMark/>
          </w:tcPr>
          <w:p w14:paraId="5DCF925F"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0,863</w:t>
            </w:r>
          </w:p>
        </w:tc>
        <w:tc>
          <w:tcPr>
            <w:tcW w:w="1134" w:type="dxa"/>
            <w:tcBorders>
              <w:top w:val="nil"/>
              <w:left w:val="single" w:sz="4" w:space="0" w:color="auto"/>
            </w:tcBorders>
            <w:shd w:val="clear" w:color="auto" w:fill="auto"/>
            <w:noWrap/>
            <w:vAlign w:val="center"/>
            <w:hideMark/>
          </w:tcPr>
          <w:p w14:paraId="7F2F3D9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0,290</w:t>
            </w:r>
          </w:p>
        </w:tc>
        <w:tc>
          <w:tcPr>
            <w:tcW w:w="850" w:type="dxa"/>
            <w:tcBorders>
              <w:top w:val="nil"/>
            </w:tcBorders>
            <w:shd w:val="clear" w:color="auto" w:fill="auto"/>
            <w:noWrap/>
            <w:vAlign w:val="center"/>
            <w:hideMark/>
          </w:tcPr>
          <w:p w14:paraId="5259FBEE"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0,408</w:t>
            </w:r>
          </w:p>
        </w:tc>
      </w:tr>
      <w:tr w:rsidR="00083549" w:rsidRPr="00083549" w14:paraId="42CAF018" w14:textId="77777777" w:rsidTr="0096187D">
        <w:trPr>
          <w:trHeight w:val="300"/>
        </w:trPr>
        <w:tc>
          <w:tcPr>
            <w:tcW w:w="654" w:type="dxa"/>
            <w:tcBorders>
              <w:top w:val="nil"/>
            </w:tcBorders>
            <w:shd w:val="clear" w:color="auto" w:fill="auto"/>
            <w:noWrap/>
            <w:vAlign w:val="center"/>
            <w:hideMark/>
          </w:tcPr>
          <w:p w14:paraId="0BCF5C71"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SIV6</w:t>
            </w:r>
          </w:p>
        </w:tc>
        <w:tc>
          <w:tcPr>
            <w:tcW w:w="1134" w:type="dxa"/>
            <w:tcBorders>
              <w:top w:val="nil"/>
            </w:tcBorders>
            <w:shd w:val="clear" w:color="auto" w:fill="auto"/>
            <w:noWrap/>
            <w:vAlign w:val="center"/>
            <w:hideMark/>
          </w:tcPr>
          <w:p w14:paraId="2D1A0816"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0,324</w:t>
            </w:r>
          </w:p>
        </w:tc>
        <w:tc>
          <w:tcPr>
            <w:tcW w:w="1843" w:type="dxa"/>
            <w:tcBorders>
              <w:top w:val="nil"/>
            </w:tcBorders>
            <w:shd w:val="clear" w:color="auto" w:fill="auto"/>
            <w:noWrap/>
            <w:vAlign w:val="center"/>
            <w:hideMark/>
          </w:tcPr>
          <w:p w14:paraId="5AB4EDD6"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0,365</w:t>
            </w:r>
          </w:p>
        </w:tc>
        <w:tc>
          <w:tcPr>
            <w:tcW w:w="1134" w:type="dxa"/>
            <w:tcBorders>
              <w:top w:val="nil"/>
            </w:tcBorders>
            <w:shd w:val="clear" w:color="auto" w:fill="auto"/>
            <w:noWrap/>
            <w:vAlign w:val="center"/>
            <w:hideMark/>
          </w:tcPr>
          <w:p w14:paraId="6A150D45"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0,451</w:t>
            </w:r>
          </w:p>
        </w:tc>
        <w:tc>
          <w:tcPr>
            <w:tcW w:w="1134" w:type="dxa"/>
            <w:tcBorders>
              <w:top w:val="nil"/>
              <w:right w:val="single" w:sz="4" w:space="0" w:color="auto"/>
            </w:tcBorders>
            <w:shd w:val="clear" w:color="auto" w:fill="auto"/>
            <w:noWrap/>
            <w:vAlign w:val="center"/>
            <w:hideMark/>
          </w:tcPr>
          <w:p w14:paraId="44AB0ACD"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0,474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0CA222D"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0,870</w:t>
            </w:r>
          </w:p>
        </w:tc>
        <w:tc>
          <w:tcPr>
            <w:tcW w:w="1134" w:type="dxa"/>
            <w:tcBorders>
              <w:top w:val="nil"/>
              <w:left w:val="single" w:sz="4" w:space="0" w:color="auto"/>
              <w:bottom w:val="single" w:sz="4" w:space="0" w:color="auto"/>
            </w:tcBorders>
            <w:shd w:val="clear" w:color="auto" w:fill="auto"/>
            <w:noWrap/>
            <w:vAlign w:val="center"/>
            <w:hideMark/>
          </w:tcPr>
          <w:p w14:paraId="158E1209"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0,368</w:t>
            </w:r>
          </w:p>
        </w:tc>
        <w:tc>
          <w:tcPr>
            <w:tcW w:w="850" w:type="dxa"/>
            <w:tcBorders>
              <w:top w:val="nil"/>
            </w:tcBorders>
            <w:shd w:val="clear" w:color="auto" w:fill="auto"/>
            <w:noWrap/>
            <w:vAlign w:val="center"/>
            <w:hideMark/>
          </w:tcPr>
          <w:p w14:paraId="06569626"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0,466</w:t>
            </w:r>
          </w:p>
        </w:tc>
      </w:tr>
      <w:tr w:rsidR="00083549" w:rsidRPr="00083549" w14:paraId="780BA420" w14:textId="77777777" w:rsidTr="0096187D">
        <w:trPr>
          <w:trHeight w:val="300"/>
        </w:trPr>
        <w:tc>
          <w:tcPr>
            <w:tcW w:w="654" w:type="dxa"/>
            <w:tcBorders>
              <w:top w:val="nil"/>
            </w:tcBorders>
            <w:shd w:val="clear" w:color="auto" w:fill="auto"/>
            <w:noWrap/>
            <w:vAlign w:val="center"/>
            <w:hideMark/>
          </w:tcPr>
          <w:p w14:paraId="7E699CB6"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ST1</w:t>
            </w:r>
          </w:p>
        </w:tc>
        <w:tc>
          <w:tcPr>
            <w:tcW w:w="1134" w:type="dxa"/>
            <w:tcBorders>
              <w:top w:val="nil"/>
            </w:tcBorders>
            <w:shd w:val="clear" w:color="auto" w:fill="auto"/>
            <w:noWrap/>
            <w:vAlign w:val="center"/>
            <w:hideMark/>
          </w:tcPr>
          <w:p w14:paraId="34ADE3B6"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0,393</w:t>
            </w:r>
          </w:p>
        </w:tc>
        <w:tc>
          <w:tcPr>
            <w:tcW w:w="1843" w:type="dxa"/>
            <w:tcBorders>
              <w:top w:val="nil"/>
            </w:tcBorders>
            <w:shd w:val="clear" w:color="auto" w:fill="auto"/>
            <w:noWrap/>
            <w:vAlign w:val="center"/>
            <w:hideMark/>
          </w:tcPr>
          <w:p w14:paraId="0E057EAF"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0,592</w:t>
            </w:r>
          </w:p>
        </w:tc>
        <w:tc>
          <w:tcPr>
            <w:tcW w:w="1134" w:type="dxa"/>
            <w:tcBorders>
              <w:top w:val="nil"/>
            </w:tcBorders>
            <w:shd w:val="clear" w:color="auto" w:fill="auto"/>
            <w:noWrap/>
            <w:vAlign w:val="center"/>
            <w:hideMark/>
          </w:tcPr>
          <w:p w14:paraId="03D9B095"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0,264</w:t>
            </w:r>
          </w:p>
        </w:tc>
        <w:tc>
          <w:tcPr>
            <w:tcW w:w="1134" w:type="dxa"/>
            <w:tcBorders>
              <w:top w:val="nil"/>
            </w:tcBorders>
            <w:shd w:val="clear" w:color="auto" w:fill="auto"/>
            <w:noWrap/>
            <w:vAlign w:val="center"/>
            <w:hideMark/>
          </w:tcPr>
          <w:p w14:paraId="5157EFA9"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0,668</w:t>
            </w:r>
          </w:p>
        </w:tc>
        <w:tc>
          <w:tcPr>
            <w:tcW w:w="1134" w:type="dxa"/>
            <w:tcBorders>
              <w:top w:val="single" w:sz="4" w:space="0" w:color="auto"/>
              <w:right w:val="single" w:sz="4" w:space="0" w:color="auto"/>
            </w:tcBorders>
            <w:shd w:val="clear" w:color="auto" w:fill="auto"/>
            <w:noWrap/>
            <w:vAlign w:val="center"/>
            <w:hideMark/>
          </w:tcPr>
          <w:p w14:paraId="359214B1"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0,385</w:t>
            </w:r>
          </w:p>
        </w:tc>
        <w:tc>
          <w:tcPr>
            <w:tcW w:w="1134" w:type="dxa"/>
            <w:tcBorders>
              <w:top w:val="single" w:sz="4" w:space="0" w:color="auto"/>
              <w:left w:val="single" w:sz="4" w:space="0" w:color="auto"/>
              <w:right w:val="single" w:sz="4" w:space="0" w:color="auto"/>
            </w:tcBorders>
            <w:shd w:val="clear" w:color="auto" w:fill="auto"/>
            <w:noWrap/>
            <w:vAlign w:val="center"/>
            <w:hideMark/>
          </w:tcPr>
          <w:p w14:paraId="40308C2A"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0,909</w:t>
            </w:r>
          </w:p>
        </w:tc>
        <w:tc>
          <w:tcPr>
            <w:tcW w:w="850" w:type="dxa"/>
            <w:tcBorders>
              <w:top w:val="nil"/>
              <w:left w:val="single" w:sz="4" w:space="0" w:color="auto"/>
            </w:tcBorders>
            <w:shd w:val="clear" w:color="auto" w:fill="auto"/>
            <w:noWrap/>
            <w:vAlign w:val="center"/>
            <w:hideMark/>
          </w:tcPr>
          <w:p w14:paraId="217DF42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0,574</w:t>
            </w:r>
          </w:p>
        </w:tc>
      </w:tr>
      <w:tr w:rsidR="00083549" w:rsidRPr="00083549" w14:paraId="3796132F" w14:textId="77777777" w:rsidTr="0096187D">
        <w:trPr>
          <w:trHeight w:val="300"/>
        </w:trPr>
        <w:tc>
          <w:tcPr>
            <w:tcW w:w="654" w:type="dxa"/>
            <w:tcBorders>
              <w:top w:val="nil"/>
            </w:tcBorders>
            <w:shd w:val="clear" w:color="auto" w:fill="auto"/>
            <w:noWrap/>
            <w:vAlign w:val="center"/>
            <w:hideMark/>
          </w:tcPr>
          <w:p w14:paraId="71A44F6A"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ST2</w:t>
            </w:r>
          </w:p>
        </w:tc>
        <w:tc>
          <w:tcPr>
            <w:tcW w:w="1134" w:type="dxa"/>
            <w:tcBorders>
              <w:top w:val="nil"/>
            </w:tcBorders>
            <w:shd w:val="clear" w:color="auto" w:fill="auto"/>
            <w:noWrap/>
            <w:vAlign w:val="center"/>
            <w:hideMark/>
          </w:tcPr>
          <w:p w14:paraId="4787960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0,495</w:t>
            </w:r>
          </w:p>
        </w:tc>
        <w:tc>
          <w:tcPr>
            <w:tcW w:w="1843" w:type="dxa"/>
            <w:tcBorders>
              <w:top w:val="nil"/>
            </w:tcBorders>
            <w:shd w:val="clear" w:color="auto" w:fill="auto"/>
            <w:noWrap/>
            <w:vAlign w:val="center"/>
            <w:hideMark/>
          </w:tcPr>
          <w:p w14:paraId="3792B859"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0,560</w:t>
            </w:r>
          </w:p>
        </w:tc>
        <w:tc>
          <w:tcPr>
            <w:tcW w:w="1134" w:type="dxa"/>
            <w:tcBorders>
              <w:top w:val="nil"/>
            </w:tcBorders>
            <w:shd w:val="clear" w:color="auto" w:fill="auto"/>
            <w:noWrap/>
            <w:vAlign w:val="center"/>
            <w:hideMark/>
          </w:tcPr>
          <w:p w14:paraId="12B6FE35"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0,233</w:t>
            </w:r>
          </w:p>
        </w:tc>
        <w:tc>
          <w:tcPr>
            <w:tcW w:w="1134" w:type="dxa"/>
            <w:tcBorders>
              <w:top w:val="nil"/>
            </w:tcBorders>
            <w:shd w:val="clear" w:color="auto" w:fill="auto"/>
            <w:noWrap/>
            <w:vAlign w:val="center"/>
            <w:hideMark/>
          </w:tcPr>
          <w:p w14:paraId="114302DC"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0,409</w:t>
            </w:r>
          </w:p>
        </w:tc>
        <w:tc>
          <w:tcPr>
            <w:tcW w:w="1134" w:type="dxa"/>
            <w:tcBorders>
              <w:top w:val="nil"/>
              <w:right w:val="single" w:sz="4" w:space="0" w:color="auto"/>
            </w:tcBorders>
            <w:shd w:val="clear" w:color="auto" w:fill="auto"/>
            <w:noWrap/>
            <w:vAlign w:val="center"/>
            <w:hideMark/>
          </w:tcPr>
          <w:p w14:paraId="52D16FF6"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0,246</w:t>
            </w:r>
          </w:p>
        </w:tc>
        <w:tc>
          <w:tcPr>
            <w:tcW w:w="1134" w:type="dxa"/>
            <w:tcBorders>
              <w:top w:val="nil"/>
              <w:left w:val="single" w:sz="4" w:space="0" w:color="auto"/>
              <w:right w:val="single" w:sz="4" w:space="0" w:color="auto"/>
            </w:tcBorders>
            <w:shd w:val="clear" w:color="auto" w:fill="auto"/>
            <w:noWrap/>
            <w:vAlign w:val="center"/>
            <w:hideMark/>
          </w:tcPr>
          <w:p w14:paraId="47C1197E"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0,794</w:t>
            </w:r>
          </w:p>
        </w:tc>
        <w:tc>
          <w:tcPr>
            <w:tcW w:w="850" w:type="dxa"/>
            <w:tcBorders>
              <w:top w:val="nil"/>
              <w:left w:val="single" w:sz="4" w:space="0" w:color="auto"/>
            </w:tcBorders>
            <w:shd w:val="clear" w:color="auto" w:fill="auto"/>
            <w:noWrap/>
            <w:vAlign w:val="center"/>
            <w:hideMark/>
          </w:tcPr>
          <w:p w14:paraId="55FBCA8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0,496</w:t>
            </w:r>
          </w:p>
        </w:tc>
      </w:tr>
      <w:tr w:rsidR="00083549" w:rsidRPr="00083549" w14:paraId="097E10E6" w14:textId="77777777" w:rsidTr="0096187D">
        <w:trPr>
          <w:trHeight w:val="300"/>
        </w:trPr>
        <w:tc>
          <w:tcPr>
            <w:tcW w:w="654" w:type="dxa"/>
            <w:tcBorders>
              <w:top w:val="nil"/>
            </w:tcBorders>
            <w:shd w:val="clear" w:color="auto" w:fill="auto"/>
            <w:noWrap/>
            <w:vAlign w:val="center"/>
            <w:hideMark/>
          </w:tcPr>
          <w:p w14:paraId="136AC001"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ST3</w:t>
            </w:r>
          </w:p>
        </w:tc>
        <w:tc>
          <w:tcPr>
            <w:tcW w:w="1134" w:type="dxa"/>
            <w:tcBorders>
              <w:top w:val="nil"/>
            </w:tcBorders>
            <w:shd w:val="clear" w:color="auto" w:fill="auto"/>
            <w:noWrap/>
            <w:vAlign w:val="center"/>
            <w:hideMark/>
          </w:tcPr>
          <w:p w14:paraId="0154963F"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0,382</w:t>
            </w:r>
          </w:p>
        </w:tc>
        <w:tc>
          <w:tcPr>
            <w:tcW w:w="1843" w:type="dxa"/>
            <w:tcBorders>
              <w:top w:val="nil"/>
            </w:tcBorders>
            <w:shd w:val="clear" w:color="auto" w:fill="auto"/>
            <w:noWrap/>
            <w:vAlign w:val="center"/>
            <w:hideMark/>
          </w:tcPr>
          <w:p w14:paraId="2514A4FD"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0,543</w:t>
            </w:r>
          </w:p>
        </w:tc>
        <w:tc>
          <w:tcPr>
            <w:tcW w:w="1134" w:type="dxa"/>
            <w:tcBorders>
              <w:top w:val="nil"/>
            </w:tcBorders>
            <w:shd w:val="clear" w:color="auto" w:fill="auto"/>
            <w:noWrap/>
            <w:vAlign w:val="center"/>
            <w:hideMark/>
          </w:tcPr>
          <w:p w14:paraId="240A36EF"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0,283</w:t>
            </w:r>
          </w:p>
        </w:tc>
        <w:tc>
          <w:tcPr>
            <w:tcW w:w="1134" w:type="dxa"/>
            <w:tcBorders>
              <w:top w:val="nil"/>
            </w:tcBorders>
            <w:shd w:val="clear" w:color="auto" w:fill="auto"/>
            <w:noWrap/>
            <w:vAlign w:val="center"/>
            <w:hideMark/>
          </w:tcPr>
          <w:p w14:paraId="36EA369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0,637</w:t>
            </w:r>
          </w:p>
        </w:tc>
        <w:tc>
          <w:tcPr>
            <w:tcW w:w="1134" w:type="dxa"/>
            <w:tcBorders>
              <w:top w:val="nil"/>
              <w:right w:val="single" w:sz="4" w:space="0" w:color="auto"/>
            </w:tcBorders>
            <w:shd w:val="clear" w:color="auto" w:fill="auto"/>
            <w:noWrap/>
            <w:vAlign w:val="center"/>
            <w:hideMark/>
          </w:tcPr>
          <w:p w14:paraId="523C42A9"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0,343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CD637CA"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0,851</w:t>
            </w:r>
          </w:p>
        </w:tc>
        <w:tc>
          <w:tcPr>
            <w:tcW w:w="850" w:type="dxa"/>
            <w:tcBorders>
              <w:top w:val="nil"/>
              <w:left w:val="single" w:sz="4" w:space="0" w:color="auto"/>
              <w:bottom w:val="single" w:sz="4" w:space="0" w:color="auto"/>
            </w:tcBorders>
            <w:shd w:val="clear" w:color="auto" w:fill="auto"/>
            <w:noWrap/>
            <w:vAlign w:val="center"/>
            <w:hideMark/>
          </w:tcPr>
          <w:p w14:paraId="71273DE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0,476</w:t>
            </w:r>
          </w:p>
        </w:tc>
      </w:tr>
      <w:tr w:rsidR="00083549" w:rsidRPr="00083549" w14:paraId="1C819B52" w14:textId="77777777" w:rsidTr="0096187D">
        <w:trPr>
          <w:trHeight w:val="300"/>
        </w:trPr>
        <w:tc>
          <w:tcPr>
            <w:tcW w:w="654" w:type="dxa"/>
            <w:tcBorders>
              <w:top w:val="nil"/>
            </w:tcBorders>
            <w:shd w:val="clear" w:color="auto" w:fill="auto"/>
            <w:noWrap/>
            <w:vAlign w:val="center"/>
            <w:hideMark/>
          </w:tcPr>
          <w:p w14:paraId="445AFC87"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VC1</w:t>
            </w:r>
          </w:p>
        </w:tc>
        <w:tc>
          <w:tcPr>
            <w:tcW w:w="1134" w:type="dxa"/>
            <w:tcBorders>
              <w:top w:val="nil"/>
            </w:tcBorders>
            <w:shd w:val="clear" w:color="auto" w:fill="auto"/>
            <w:noWrap/>
            <w:vAlign w:val="center"/>
            <w:hideMark/>
          </w:tcPr>
          <w:p w14:paraId="7196B0FD"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0,092</w:t>
            </w:r>
          </w:p>
        </w:tc>
        <w:tc>
          <w:tcPr>
            <w:tcW w:w="1843" w:type="dxa"/>
            <w:tcBorders>
              <w:top w:val="nil"/>
            </w:tcBorders>
            <w:shd w:val="clear" w:color="auto" w:fill="auto"/>
            <w:noWrap/>
            <w:vAlign w:val="center"/>
            <w:hideMark/>
          </w:tcPr>
          <w:p w14:paraId="3D10D3F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0,391</w:t>
            </w:r>
          </w:p>
        </w:tc>
        <w:tc>
          <w:tcPr>
            <w:tcW w:w="1134" w:type="dxa"/>
            <w:tcBorders>
              <w:top w:val="nil"/>
            </w:tcBorders>
            <w:shd w:val="clear" w:color="auto" w:fill="auto"/>
            <w:noWrap/>
            <w:vAlign w:val="center"/>
            <w:hideMark/>
          </w:tcPr>
          <w:p w14:paraId="49A0A6E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0,559</w:t>
            </w:r>
          </w:p>
        </w:tc>
        <w:tc>
          <w:tcPr>
            <w:tcW w:w="1134" w:type="dxa"/>
            <w:tcBorders>
              <w:top w:val="nil"/>
            </w:tcBorders>
            <w:shd w:val="clear" w:color="auto" w:fill="auto"/>
            <w:noWrap/>
            <w:vAlign w:val="center"/>
            <w:hideMark/>
          </w:tcPr>
          <w:p w14:paraId="332F2B7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0,345</w:t>
            </w:r>
          </w:p>
        </w:tc>
        <w:tc>
          <w:tcPr>
            <w:tcW w:w="1134" w:type="dxa"/>
            <w:tcBorders>
              <w:top w:val="nil"/>
            </w:tcBorders>
            <w:shd w:val="clear" w:color="auto" w:fill="auto"/>
            <w:noWrap/>
            <w:vAlign w:val="center"/>
            <w:hideMark/>
          </w:tcPr>
          <w:p w14:paraId="33A3DF6E"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0,366</w:t>
            </w:r>
          </w:p>
        </w:tc>
        <w:tc>
          <w:tcPr>
            <w:tcW w:w="1134" w:type="dxa"/>
            <w:tcBorders>
              <w:top w:val="single" w:sz="4" w:space="0" w:color="auto"/>
              <w:right w:val="single" w:sz="4" w:space="0" w:color="auto"/>
            </w:tcBorders>
            <w:shd w:val="clear" w:color="auto" w:fill="auto"/>
            <w:noWrap/>
            <w:vAlign w:val="center"/>
            <w:hideMark/>
          </w:tcPr>
          <w:p w14:paraId="30BF5F5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0,365</w:t>
            </w:r>
          </w:p>
        </w:tc>
        <w:tc>
          <w:tcPr>
            <w:tcW w:w="850" w:type="dxa"/>
            <w:tcBorders>
              <w:top w:val="single" w:sz="4" w:space="0" w:color="auto"/>
              <w:left w:val="single" w:sz="4" w:space="0" w:color="auto"/>
              <w:right w:val="single" w:sz="4" w:space="0" w:color="auto"/>
            </w:tcBorders>
            <w:shd w:val="clear" w:color="auto" w:fill="auto"/>
            <w:noWrap/>
            <w:vAlign w:val="center"/>
            <w:hideMark/>
          </w:tcPr>
          <w:p w14:paraId="38B896E5"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0,718</w:t>
            </w:r>
          </w:p>
        </w:tc>
      </w:tr>
      <w:tr w:rsidR="00083549" w:rsidRPr="00083549" w14:paraId="45038996" w14:textId="77777777" w:rsidTr="0096187D">
        <w:trPr>
          <w:trHeight w:val="300"/>
        </w:trPr>
        <w:tc>
          <w:tcPr>
            <w:tcW w:w="654" w:type="dxa"/>
            <w:tcBorders>
              <w:top w:val="nil"/>
            </w:tcBorders>
            <w:shd w:val="clear" w:color="auto" w:fill="auto"/>
            <w:noWrap/>
            <w:vAlign w:val="center"/>
            <w:hideMark/>
          </w:tcPr>
          <w:p w14:paraId="3330613F"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lastRenderedPageBreak/>
              <w:t>VC2</w:t>
            </w:r>
          </w:p>
        </w:tc>
        <w:tc>
          <w:tcPr>
            <w:tcW w:w="1134" w:type="dxa"/>
            <w:tcBorders>
              <w:top w:val="nil"/>
            </w:tcBorders>
            <w:shd w:val="clear" w:color="auto" w:fill="auto"/>
            <w:noWrap/>
            <w:vAlign w:val="center"/>
            <w:hideMark/>
          </w:tcPr>
          <w:p w14:paraId="620F7A29"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0,283</w:t>
            </w:r>
          </w:p>
        </w:tc>
        <w:tc>
          <w:tcPr>
            <w:tcW w:w="1843" w:type="dxa"/>
            <w:tcBorders>
              <w:top w:val="nil"/>
            </w:tcBorders>
            <w:shd w:val="clear" w:color="auto" w:fill="auto"/>
            <w:noWrap/>
            <w:vAlign w:val="center"/>
            <w:hideMark/>
          </w:tcPr>
          <w:p w14:paraId="06CE73A7"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0,613</w:t>
            </w:r>
          </w:p>
        </w:tc>
        <w:tc>
          <w:tcPr>
            <w:tcW w:w="1134" w:type="dxa"/>
            <w:tcBorders>
              <w:top w:val="nil"/>
            </w:tcBorders>
            <w:shd w:val="clear" w:color="auto" w:fill="auto"/>
            <w:noWrap/>
            <w:vAlign w:val="center"/>
            <w:hideMark/>
          </w:tcPr>
          <w:p w14:paraId="393791B4"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0,611</w:t>
            </w:r>
          </w:p>
        </w:tc>
        <w:tc>
          <w:tcPr>
            <w:tcW w:w="1134" w:type="dxa"/>
            <w:tcBorders>
              <w:top w:val="nil"/>
            </w:tcBorders>
            <w:shd w:val="clear" w:color="auto" w:fill="auto"/>
            <w:noWrap/>
            <w:vAlign w:val="center"/>
            <w:hideMark/>
          </w:tcPr>
          <w:p w14:paraId="23DD7D89"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0,427</w:t>
            </w:r>
          </w:p>
        </w:tc>
        <w:tc>
          <w:tcPr>
            <w:tcW w:w="1134" w:type="dxa"/>
            <w:tcBorders>
              <w:top w:val="nil"/>
            </w:tcBorders>
            <w:shd w:val="clear" w:color="auto" w:fill="auto"/>
            <w:noWrap/>
            <w:vAlign w:val="center"/>
            <w:hideMark/>
          </w:tcPr>
          <w:p w14:paraId="0325ADC4"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0,436</w:t>
            </w:r>
          </w:p>
        </w:tc>
        <w:tc>
          <w:tcPr>
            <w:tcW w:w="1134" w:type="dxa"/>
            <w:tcBorders>
              <w:top w:val="nil"/>
              <w:right w:val="single" w:sz="4" w:space="0" w:color="auto"/>
            </w:tcBorders>
            <w:shd w:val="clear" w:color="auto" w:fill="auto"/>
            <w:noWrap/>
            <w:vAlign w:val="center"/>
            <w:hideMark/>
          </w:tcPr>
          <w:p w14:paraId="5787E62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0,592</w:t>
            </w:r>
          </w:p>
        </w:tc>
        <w:tc>
          <w:tcPr>
            <w:tcW w:w="850" w:type="dxa"/>
            <w:tcBorders>
              <w:top w:val="nil"/>
              <w:left w:val="single" w:sz="4" w:space="0" w:color="auto"/>
              <w:right w:val="single" w:sz="4" w:space="0" w:color="auto"/>
            </w:tcBorders>
            <w:shd w:val="clear" w:color="auto" w:fill="auto"/>
            <w:noWrap/>
            <w:vAlign w:val="center"/>
            <w:hideMark/>
          </w:tcPr>
          <w:p w14:paraId="13948D75"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0,924</w:t>
            </w:r>
          </w:p>
        </w:tc>
      </w:tr>
      <w:tr w:rsidR="00083549" w:rsidRPr="00083549" w14:paraId="196921FA" w14:textId="77777777" w:rsidTr="0096187D">
        <w:trPr>
          <w:trHeight w:val="300"/>
        </w:trPr>
        <w:tc>
          <w:tcPr>
            <w:tcW w:w="654" w:type="dxa"/>
            <w:tcBorders>
              <w:top w:val="nil"/>
            </w:tcBorders>
            <w:shd w:val="clear" w:color="auto" w:fill="auto"/>
            <w:noWrap/>
            <w:vAlign w:val="center"/>
            <w:hideMark/>
          </w:tcPr>
          <w:p w14:paraId="33C20F4B"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VC3</w:t>
            </w:r>
          </w:p>
        </w:tc>
        <w:tc>
          <w:tcPr>
            <w:tcW w:w="1134" w:type="dxa"/>
            <w:tcBorders>
              <w:top w:val="nil"/>
            </w:tcBorders>
            <w:shd w:val="clear" w:color="auto" w:fill="auto"/>
            <w:noWrap/>
            <w:vAlign w:val="center"/>
            <w:hideMark/>
          </w:tcPr>
          <w:p w14:paraId="36D174E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0,231</w:t>
            </w:r>
          </w:p>
        </w:tc>
        <w:tc>
          <w:tcPr>
            <w:tcW w:w="1843" w:type="dxa"/>
            <w:tcBorders>
              <w:top w:val="nil"/>
            </w:tcBorders>
            <w:shd w:val="clear" w:color="auto" w:fill="auto"/>
            <w:noWrap/>
            <w:vAlign w:val="center"/>
            <w:hideMark/>
          </w:tcPr>
          <w:p w14:paraId="1C7DC444"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0,557</w:t>
            </w:r>
          </w:p>
        </w:tc>
        <w:tc>
          <w:tcPr>
            <w:tcW w:w="1134" w:type="dxa"/>
            <w:tcBorders>
              <w:top w:val="nil"/>
            </w:tcBorders>
            <w:shd w:val="clear" w:color="auto" w:fill="auto"/>
            <w:noWrap/>
            <w:vAlign w:val="center"/>
            <w:hideMark/>
          </w:tcPr>
          <w:p w14:paraId="1FDF271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0,674</w:t>
            </w:r>
          </w:p>
        </w:tc>
        <w:tc>
          <w:tcPr>
            <w:tcW w:w="1134" w:type="dxa"/>
            <w:tcBorders>
              <w:top w:val="nil"/>
            </w:tcBorders>
            <w:shd w:val="clear" w:color="auto" w:fill="auto"/>
            <w:noWrap/>
            <w:vAlign w:val="center"/>
            <w:hideMark/>
          </w:tcPr>
          <w:p w14:paraId="4EEB74A5"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0,431</w:t>
            </w:r>
          </w:p>
        </w:tc>
        <w:tc>
          <w:tcPr>
            <w:tcW w:w="1134" w:type="dxa"/>
            <w:tcBorders>
              <w:top w:val="nil"/>
            </w:tcBorders>
            <w:shd w:val="clear" w:color="auto" w:fill="auto"/>
            <w:noWrap/>
            <w:vAlign w:val="center"/>
            <w:hideMark/>
          </w:tcPr>
          <w:p w14:paraId="39E6CF3C"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0,489</w:t>
            </w:r>
          </w:p>
        </w:tc>
        <w:tc>
          <w:tcPr>
            <w:tcW w:w="1134" w:type="dxa"/>
            <w:tcBorders>
              <w:top w:val="nil"/>
              <w:right w:val="single" w:sz="4" w:space="0" w:color="auto"/>
            </w:tcBorders>
            <w:shd w:val="clear" w:color="auto" w:fill="auto"/>
            <w:noWrap/>
            <w:vAlign w:val="center"/>
            <w:hideMark/>
          </w:tcPr>
          <w:p w14:paraId="66A8FCD9"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0,533</w:t>
            </w:r>
          </w:p>
        </w:tc>
        <w:tc>
          <w:tcPr>
            <w:tcW w:w="850" w:type="dxa"/>
            <w:tcBorders>
              <w:top w:val="nil"/>
              <w:left w:val="single" w:sz="4" w:space="0" w:color="auto"/>
              <w:right w:val="single" w:sz="4" w:space="0" w:color="auto"/>
            </w:tcBorders>
            <w:shd w:val="clear" w:color="auto" w:fill="auto"/>
            <w:noWrap/>
            <w:vAlign w:val="center"/>
            <w:hideMark/>
          </w:tcPr>
          <w:p w14:paraId="7BF8F8AE"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0,919</w:t>
            </w:r>
          </w:p>
        </w:tc>
      </w:tr>
      <w:tr w:rsidR="00083549" w:rsidRPr="00083549" w14:paraId="2E331FA8" w14:textId="77777777" w:rsidTr="0096187D">
        <w:trPr>
          <w:trHeight w:val="300"/>
        </w:trPr>
        <w:tc>
          <w:tcPr>
            <w:tcW w:w="654" w:type="dxa"/>
            <w:tcBorders>
              <w:top w:val="nil"/>
            </w:tcBorders>
            <w:shd w:val="clear" w:color="auto" w:fill="auto"/>
            <w:noWrap/>
            <w:vAlign w:val="center"/>
            <w:hideMark/>
          </w:tcPr>
          <w:p w14:paraId="7149238C"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VC4</w:t>
            </w:r>
          </w:p>
        </w:tc>
        <w:tc>
          <w:tcPr>
            <w:tcW w:w="1134" w:type="dxa"/>
            <w:tcBorders>
              <w:top w:val="nil"/>
            </w:tcBorders>
            <w:shd w:val="clear" w:color="auto" w:fill="auto"/>
            <w:noWrap/>
            <w:vAlign w:val="center"/>
            <w:hideMark/>
          </w:tcPr>
          <w:p w14:paraId="1DE5A6C0"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0,231</w:t>
            </w:r>
          </w:p>
        </w:tc>
        <w:tc>
          <w:tcPr>
            <w:tcW w:w="1843" w:type="dxa"/>
            <w:tcBorders>
              <w:top w:val="nil"/>
            </w:tcBorders>
            <w:shd w:val="clear" w:color="auto" w:fill="auto"/>
            <w:noWrap/>
            <w:vAlign w:val="center"/>
            <w:hideMark/>
          </w:tcPr>
          <w:p w14:paraId="0E3AD504"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0,575</w:t>
            </w:r>
          </w:p>
        </w:tc>
        <w:tc>
          <w:tcPr>
            <w:tcW w:w="1134" w:type="dxa"/>
            <w:tcBorders>
              <w:top w:val="nil"/>
            </w:tcBorders>
            <w:shd w:val="clear" w:color="auto" w:fill="auto"/>
            <w:noWrap/>
            <w:vAlign w:val="center"/>
            <w:hideMark/>
          </w:tcPr>
          <w:p w14:paraId="020AB5F3"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0,591</w:t>
            </w:r>
          </w:p>
        </w:tc>
        <w:tc>
          <w:tcPr>
            <w:tcW w:w="1134" w:type="dxa"/>
            <w:tcBorders>
              <w:top w:val="nil"/>
            </w:tcBorders>
            <w:shd w:val="clear" w:color="auto" w:fill="auto"/>
            <w:noWrap/>
            <w:vAlign w:val="center"/>
            <w:hideMark/>
          </w:tcPr>
          <w:p w14:paraId="6FF2E74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0,377</w:t>
            </w:r>
          </w:p>
        </w:tc>
        <w:tc>
          <w:tcPr>
            <w:tcW w:w="1134" w:type="dxa"/>
            <w:tcBorders>
              <w:top w:val="nil"/>
            </w:tcBorders>
            <w:shd w:val="clear" w:color="auto" w:fill="auto"/>
            <w:noWrap/>
            <w:vAlign w:val="center"/>
            <w:hideMark/>
          </w:tcPr>
          <w:p w14:paraId="54A0150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0,464</w:t>
            </w:r>
          </w:p>
        </w:tc>
        <w:tc>
          <w:tcPr>
            <w:tcW w:w="1134" w:type="dxa"/>
            <w:tcBorders>
              <w:top w:val="nil"/>
              <w:right w:val="single" w:sz="4" w:space="0" w:color="auto"/>
            </w:tcBorders>
            <w:shd w:val="clear" w:color="auto" w:fill="auto"/>
            <w:noWrap/>
            <w:vAlign w:val="center"/>
            <w:hideMark/>
          </w:tcPr>
          <w:p w14:paraId="1C542E06"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0,478</w:t>
            </w:r>
          </w:p>
        </w:tc>
        <w:tc>
          <w:tcPr>
            <w:tcW w:w="850" w:type="dxa"/>
            <w:tcBorders>
              <w:top w:val="nil"/>
              <w:left w:val="single" w:sz="4" w:space="0" w:color="auto"/>
              <w:right w:val="single" w:sz="4" w:space="0" w:color="auto"/>
            </w:tcBorders>
            <w:shd w:val="clear" w:color="auto" w:fill="auto"/>
            <w:noWrap/>
            <w:vAlign w:val="center"/>
            <w:hideMark/>
          </w:tcPr>
          <w:p w14:paraId="64766CA7"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0,887</w:t>
            </w:r>
          </w:p>
        </w:tc>
      </w:tr>
      <w:tr w:rsidR="00083549" w:rsidRPr="00083549" w14:paraId="350A2748" w14:textId="77777777" w:rsidTr="0096187D">
        <w:trPr>
          <w:trHeight w:val="300"/>
        </w:trPr>
        <w:tc>
          <w:tcPr>
            <w:tcW w:w="654" w:type="dxa"/>
            <w:tcBorders>
              <w:top w:val="nil"/>
            </w:tcBorders>
            <w:shd w:val="clear" w:color="auto" w:fill="auto"/>
            <w:noWrap/>
            <w:vAlign w:val="center"/>
            <w:hideMark/>
          </w:tcPr>
          <w:p w14:paraId="7A523377"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VC5</w:t>
            </w:r>
          </w:p>
        </w:tc>
        <w:tc>
          <w:tcPr>
            <w:tcW w:w="1134" w:type="dxa"/>
            <w:tcBorders>
              <w:top w:val="nil"/>
            </w:tcBorders>
            <w:shd w:val="clear" w:color="auto" w:fill="auto"/>
            <w:noWrap/>
            <w:vAlign w:val="center"/>
            <w:hideMark/>
          </w:tcPr>
          <w:p w14:paraId="3E8D485A"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0,279</w:t>
            </w:r>
          </w:p>
        </w:tc>
        <w:tc>
          <w:tcPr>
            <w:tcW w:w="1843" w:type="dxa"/>
            <w:tcBorders>
              <w:top w:val="nil"/>
            </w:tcBorders>
            <w:shd w:val="clear" w:color="auto" w:fill="auto"/>
            <w:noWrap/>
            <w:vAlign w:val="center"/>
            <w:hideMark/>
          </w:tcPr>
          <w:p w14:paraId="4D1D82B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0,585</w:t>
            </w:r>
          </w:p>
        </w:tc>
        <w:tc>
          <w:tcPr>
            <w:tcW w:w="1134" w:type="dxa"/>
            <w:tcBorders>
              <w:top w:val="nil"/>
            </w:tcBorders>
            <w:shd w:val="clear" w:color="auto" w:fill="auto"/>
            <w:noWrap/>
            <w:vAlign w:val="center"/>
            <w:hideMark/>
          </w:tcPr>
          <w:p w14:paraId="002D1834"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0,581</w:t>
            </w:r>
          </w:p>
        </w:tc>
        <w:tc>
          <w:tcPr>
            <w:tcW w:w="1134" w:type="dxa"/>
            <w:tcBorders>
              <w:top w:val="nil"/>
            </w:tcBorders>
            <w:shd w:val="clear" w:color="auto" w:fill="auto"/>
            <w:noWrap/>
            <w:vAlign w:val="center"/>
            <w:hideMark/>
          </w:tcPr>
          <w:p w14:paraId="5D063551"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0,430</w:t>
            </w:r>
          </w:p>
        </w:tc>
        <w:tc>
          <w:tcPr>
            <w:tcW w:w="1134" w:type="dxa"/>
            <w:tcBorders>
              <w:top w:val="nil"/>
            </w:tcBorders>
            <w:shd w:val="clear" w:color="auto" w:fill="auto"/>
            <w:noWrap/>
            <w:vAlign w:val="center"/>
            <w:hideMark/>
          </w:tcPr>
          <w:p w14:paraId="523847A2"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0,390</w:t>
            </w:r>
          </w:p>
        </w:tc>
        <w:tc>
          <w:tcPr>
            <w:tcW w:w="1134" w:type="dxa"/>
            <w:tcBorders>
              <w:top w:val="nil"/>
              <w:right w:val="single" w:sz="4" w:space="0" w:color="auto"/>
            </w:tcBorders>
            <w:shd w:val="clear" w:color="auto" w:fill="auto"/>
            <w:noWrap/>
            <w:vAlign w:val="center"/>
            <w:hideMark/>
          </w:tcPr>
          <w:p w14:paraId="5420E69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0,568</w:t>
            </w:r>
          </w:p>
        </w:tc>
        <w:tc>
          <w:tcPr>
            <w:tcW w:w="850" w:type="dxa"/>
            <w:tcBorders>
              <w:top w:val="nil"/>
              <w:left w:val="single" w:sz="4" w:space="0" w:color="auto"/>
              <w:right w:val="single" w:sz="4" w:space="0" w:color="auto"/>
            </w:tcBorders>
            <w:shd w:val="clear" w:color="auto" w:fill="auto"/>
            <w:noWrap/>
            <w:vAlign w:val="center"/>
            <w:hideMark/>
          </w:tcPr>
          <w:p w14:paraId="0D3B3FC5"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0,920</w:t>
            </w:r>
          </w:p>
        </w:tc>
      </w:tr>
      <w:tr w:rsidR="00083549" w:rsidRPr="00083549" w14:paraId="47375D5C" w14:textId="77777777" w:rsidTr="0096187D">
        <w:trPr>
          <w:trHeight w:val="300"/>
        </w:trPr>
        <w:tc>
          <w:tcPr>
            <w:tcW w:w="654" w:type="dxa"/>
            <w:tcBorders>
              <w:top w:val="nil"/>
              <w:bottom w:val="single" w:sz="4" w:space="0" w:color="auto"/>
            </w:tcBorders>
            <w:shd w:val="clear" w:color="auto" w:fill="auto"/>
            <w:noWrap/>
            <w:vAlign w:val="center"/>
            <w:hideMark/>
          </w:tcPr>
          <w:p w14:paraId="6191D044" w14:textId="77777777" w:rsidR="00083549" w:rsidRPr="00083549" w:rsidRDefault="00083549" w:rsidP="0096187D">
            <w:pPr>
              <w:spacing w:after="0"/>
              <w:rPr>
                <w:rFonts w:ascii="Garamond" w:hAnsi="Garamond" w:cs="Arial"/>
                <w:bCs/>
                <w:color w:val="000000"/>
                <w:sz w:val="20"/>
                <w:szCs w:val="20"/>
              </w:rPr>
            </w:pPr>
            <w:r w:rsidRPr="00083549">
              <w:rPr>
                <w:rFonts w:ascii="Garamond" w:hAnsi="Garamond" w:cs="Arial"/>
                <w:bCs/>
                <w:color w:val="000000"/>
                <w:sz w:val="20"/>
                <w:szCs w:val="20"/>
              </w:rPr>
              <w:t>VC6</w:t>
            </w:r>
          </w:p>
        </w:tc>
        <w:tc>
          <w:tcPr>
            <w:tcW w:w="1134" w:type="dxa"/>
            <w:tcBorders>
              <w:top w:val="nil"/>
              <w:bottom w:val="single" w:sz="4" w:space="0" w:color="auto"/>
            </w:tcBorders>
            <w:shd w:val="clear" w:color="auto" w:fill="auto"/>
            <w:noWrap/>
            <w:vAlign w:val="center"/>
            <w:hideMark/>
          </w:tcPr>
          <w:p w14:paraId="31EFBC1C"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0,303</w:t>
            </w:r>
          </w:p>
        </w:tc>
        <w:tc>
          <w:tcPr>
            <w:tcW w:w="1843" w:type="dxa"/>
            <w:tcBorders>
              <w:top w:val="nil"/>
              <w:bottom w:val="single" w:sz="4" w:space="0" w:color="auto"/>
            </w:tcBorders>
            <w:shd w:val="clear" w:color="auto" w:fill="auto"/>
            <w:noWrap/>
            <w:vAlign w:val="center"/>
            <w:hideMark/>
          </w:tcPr>
          <w:p w14:paraId="55105E3B"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0,651</w:t>
            </w:r>
          </w:p>
        </w:tc>
        <w:tc>
          <w:tcPr>
            <w:tcW w:w="1134" w:type="dxa"/>
            <w:tcBorders>
              <w:top w:val="nil"/>
              <w:bottom w:val="single" w:sz="4" w:space="0" w:color="auto"/>
            </w:tcBorders>
            <w:shd w:val="clear" w:color="auto" w:fill="auto"/>
            <w:noWrap/>
            <w:vAlign w:val="center"/>
            <w:hideMark/>
          </w:tcPr>
          <w:p w14:paraId="6FFBD206"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0,591</w:t>
            </w:r>
          </w:p>
        </w:tc>
        <w:tc>
          <w:tcPr>
            <w:tcW w:w="1134" w:type="dxa"/>
            <w:tcBorders>
              <w:top w:val="nil"/>
              <w:bottom w:val="single" w:sz="4" w:space="0" w:color="auto"/>
            </w:tcBorders>
            <w:shd w:val="clear" w:color="auto" w:fill="auto"/>
            <w:noWrap/>
            <w:vAlign w:val="center"/>
            <w:hideMark/>
          </w:tcPr>
          <w:p w14:paraId="2AB53328"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0,455</w:t>
            </w:r>
          </w:p>
        </w:tc>
        <w:tc>
          <w:tcPr>
            <w:tcW w:w="1134" w:type="dxa"/>
            <w:tcBorders>
              <w:top w:val="nil"/>
              <w:bottom w:val="single" w:sz="4" w:space="0" w:color="auto"/>
            </w:tcBorders>
            <w:shd w:val="clear" w:color="auto" w:fill="auto"/>
            <w:noWrap/>
            <w:vAlign w:val="center"/>
            <w:hideMark/>
          </w:tcPr>
          <w:p w14:paraId="04784C7E"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0,430</w:t>
            </w:r>
          </w:p>
        </w:tc>
        <w:tc>
          <w:tcPr>
            <w:tcW w:w="1134" w:type="dxa"/>
            <w:tcBorders>
              <w:top w:val="nil"/>
              <w:bottom w:val="single" w:sz="4" w:space="0" w:color="auto"/>
              <w:right w:val="single" w:sz="4" w:space="0" w:color="auto"/>
            </w:tcBorders>
            <w:shd w:val="clear" w:color="auto" w:fill="auto"/>
            <w:noWrap/>
            <w:vAlign w:val="center"/>
            <w:hideMark/>
          </w:tcPr>
          <w:p w14:paraId="161B31C7" w14:textId="77777777" w:rsidR="00083549" w:rsidRPr="00083549" w:rsidRDefault="00083549" w:rsidP="0096187D">
            <w:pPr>
              <w:spacing w:after="0"/>
              <w:jc w:val="right"/>
              <w:rPr>
                <w:rFonts w:ascii="Garamond" w:hAnsi="Garamond" w:cs="Arial"/>
                <w:color w:val="000000"/>
                <w:sz w:val="20"/>
                <w:szCs w:val="20"/>
              </w:rPr>
            </w:pPr>
            <w:r w:rsidRPr="00083549">
              <w:rPr>
                <w:rFonts w:ascii="Garamond" w:hAnsi="Garamond" w:cs="Arial"/>
                <w:color w:val="000000"/>
                <w:sz w:val="20"/>
                <w:szCs w:val="20"/>
              </w:rPr>
              <w:t>0,635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C515505" w14:textId="77777777" w:rsidR="00083549" w:rsidRPr="00083549" w:rsidRDefault="00083549" w:rsidP="0096187D">
            <w:pPr>
              <w:spacing w:after="0"/>
              <w:jc w:val="right"/>
              <w:rPr>
                <w:rFonts w:ascii="Garamond" w:hAnsi="Garamond" w:cs="Arial"/>
                <w:b/>
                <w:color w:val="000000"/>
                <w:sz w:val="20"/>
                <w:szCs w:val="20"/>
              </w:rPr>
            </w:pPr>
            <w:r w:rsidRPr="00083549">
              <w:rPr>
                <w:rFonts w:ascii="Garamond" w:hAnsi="Garamond" w:cs="Arial"/>
                <w:b/>
                <w:color w:val="000000"/>
                <w:sz w:val="20"/>
                <w:szCs w:val="20"/>
              </w:rPr>
              <w:t>0,913</w:t>
            </w:r>
          </w:p>
        </w:tc>
      </w:tr>
    </w:tbl>
    <w:p w14:paraId="4A3FDD6E" w14:textId="4E08EEEC" w:rsidR="00083549" w:rsidRPr="00A800E7" w:rsidRDefault="00A800E7" w:rsidP="009F6351">
      <w:pPr>
        <w:autoSpaceDE w:val="0"/>
        <w:autoSpaceDN w:val="0"/>
        <w:adjustRightInd w:val="0"/>
        <w:jc w:val="both"/>
        <w:rPr>
          <w:rFonts w:ascii="Garamond" w:eastAsia="Times New Roman" w:hAnsi="Garamond"/>
          <w:sz w:val="20"/>
          <w:szCs w:val="20"/>
          <w:lang w:eastAsia="pt-BR"/>
        </w:rPr>
      </w:pPr>
      <w:r w:rsidRPr="00A800E7">
        <w:rPr>
          <w:rFonts w:ascii="Garamond" w:eastAsia="Times New Roman" w:hAnsi="Garamond"/>
          <w:b/>
          <w:bCs/>
          <w:sz w:val="20"/>
          <w:szCs w:val="20"/>
          <w:lang w:eastAsia="pt-BR"/>
        </w:rPr>
        <w:t>Fonte</w:t>
      </w:r>
      <w:r w:rsidRPr="00A800E7">
        <w:rPr>
          <w:rFonts w:ascii="Garamond" w:eastAsia="Times New Roman" w:hAnsi="Garamond"/>
          <w:sz w:val="20"/>
          <w:szCs w:val="20"/>
          <w:lang w:eastAsia="pt-BR"/>
        </w:rPr>
        <w:t>: Dados da pesquisa</w:t>
      </w:r>
    </w:p>
    <w:p w14:paraId="69FD842C" w14:textId="5A0EA502" w:rsidR="009F6351" w:rsidRDefault="00581C4A" w:rsidP="009F6351">
      <w:pPr>
        <w:autoSpaceDE w:val="0"/>
        <w:autoSpaceDN w:val="0"/>
        <w:adjustRightInd w:val="0"/>
        <w:jc w:val="both"/>
        <w:rPr>
          <w:rFonts w:ascii="Garamond" w:eastAsia="Times New Roman" w:hAnsi="Garamond"/>
          <w:lang w:eastAsia="pt-BR"/>
        </w:rPr>
      </w:pPr>
      <w:r w:rsidRPr="00581C4A">
        <w:rPr>
          <w:rFonts w:ascii="Garamond" w:eastAsia="Times New Roman" w:hAnsi="Garamond"/>
          <w:lang w:eastAsia="pt-BR"/>
        </w:rPr>
        <w:t xml:space="preserve">Em seguida, foi validado o critério de </w:t>
      </w:r>
      <w:proofErr w:type="spellStart"/>
      <w:r w:rsidRPr="00581C4A">
        <w:rPr>
          <w:rFonts w:ascii="Garamond" w:eastAsia="Times New Roman" w:hAnsi="Garamond"/>
          <w:lang w:eastAsia="pt-BR"/>
        </w:rPr>
        <w:t>Fornell</w:t>
      </w:r>
      <w:proofErr w:type="spellEnd"/>
      <w:r w:rsidRPr="00581C4A">
        <w:rPr>
          <w:rFonts w:ascii="Garamond" w:eastAsia="Times New Roman" w:hAnsi="Garamond"/>
          <w:lang w:eastAsia="pt-BR"/>
        </w:rPr>
        <w:t xml:space="preserve"> e Lacker, para isto é necessário que o valor da raiz quadrada da AVE de cada construto deve ser maior que as correlações com os demais construtos (</w:t>
      </w:r>
      <w:proofErr w:type="spellStart"/>
      <w:r w:rsidRPr="00581C4A">
        <w:rPr>
          <w:rFonts w:ascii="Garamond" w:eastAsia="Times New Roman" w:hAnsi="Garamond"/>
          <w:lang w:eastAsia="pt-BR"/>
        </w:rPr>
        <w:t>Fornell</w:t>
      </w:r>
      <w:proofErr w:type="spellEnd"/>
      <w:r w:rsidRPr="00581C4A">
        <w:rPr>
          <w:rFonts w:ascii="Garamond" w:eastAsia="Times New Roman" w:hAnsi="Garamond"/>
          <w:lang w:eastAsia="pt-BR"/>
        </w:rPr>
        <w:t xml:space="preserve"> &amp; Lacker, 1981). Desta forma, pode-se verificar na tabela 3 que os valores em diagonal, confirmam a validade do critério de </w:t>
      </w:r>
      <w:proofErr w:type="spellStart"/>
      <w:r w:rsidRPr="00581C4A">
        <w:rPr>
          <w:rFonts w:ascii="Garamond" w:eastAsia="Times New Roman" w:hAnsi="Garamond"/>
          <w:lang w:eastAsia="pt-BR"/>
        </w:rPr>
        <w:t>Fornell</w:t>
      </w:r>
      <w:proofErr w:type="spellEnd"/>
      <w:r w:rsidRPr="00581C4A">
        <w:rPr>
          <w:rFonts w:ascii="Garamond" w:eastAsia="Times New Roman" w:hAnsi="Garamond"/>
          <w:lang w:eastAsia="pt-BR"/>
        </w:rPr>
        <w:t xml:space="preserve"> e Lacker (1981).</w:t>
      </w:r>
    </w:p>
    <w:p w14:paraId="7D17A16E" w14:textId="7A676958" w:rsidR="00354913" w:rsidRPr="00AF7DE9" w:rsidRDefault="00AF7DE9" w:rsidP="009F6351">
      <w:pPr>
        <w:autoSpaceDE w:val="0"/>
        <w:autoSpaceDN w:val="0"/>
        <w:adjustRightInd w:val="0"/>
        <w:jc w:val="both"/>
        <w:rPr>
          <w:rFonts w:ascii="Garamond" w:eastAsia="Times New Roman" w:hAnsi="Garamond"/>
          <w:sz w:val="20"/>
          <w:szCs w:val="20"/>
          <w:lang w:eastAsia="pt-BR"/>
        </w:rPr>
      </w:pPr>
      <w:r w:rsidRPr="00AF7DE9">
        <w:rPr>
          <w:rFonts w:ascii="Garamond" w:eastAsia="Times New Roman" w:hAnsi="Garamond"/>
          <w:b/>
          <w:bCs/>
          <w:sz w:val="20"/>
          <w:szCs w:val="20"/>
          <w:lang w:eastAsia="pt-BR"/>
        </w:rPr>
        <w:t>Tabela 3</w:t>
      </w:r>
      <w:r>
        <w:rPr>
          <w:rFonts w:ascii="Garamond" w:eastAsia="Times New Roman" w:hAnsi="Garamond"/>
          <w:sz w:val="20"/>
          <w:szCs w:val="20"/>
          <w:lang w:eastAsia="pt-BR"/>
        </w:rPr>
        <w:t>.</w:t>
      </w:r>
      <w:r w:rsidRPr="00AF7DE9">
        <w:rPr>
          <w:rFonts w:ascii="Garamond" w:eastAsia="Times New Roman" w:hAnsi="Garamond"/>
          <w:sz w:val="20"/>
          <w:szCs w:val="20"/>
          <w:lang w:eastAsia="pt-BR"/>
        </w:rPr>
        <w:t xml:space="preserve"> </w:t>
      </w:r>
      <w:r>
        <w:rPr>
          <w:rFonts w:ascii="Garamond" w:eastAsia="Times New Roman" w:hAnsi="Garamond"/>
          <w:sz w:val="20"/>
          <w:szCs w:val="20"/>
          <w:lang w:eastAsia="pt-BR"/>
        </w:rPr>
        <w:t>V</w:t>
      </w:r>
      <w:r w:rsidRPr="00AF7DE9">
        <w:rPr>
          <w:rFonts w:ascii="Garamond" w:eastAsia="Times New Roman" w:hAnsi="Garamond"/>
          <w:sz w:val="20"/>
          <w:szCs w:val="20"/>
          <w:lang w:eastAsia="pt-BR"/>
        </w:rPr>
        <w:t xml:space="preserve">alidade </w:t>
      </w:r>
      <w:r w:rsidR="00E20E0D">
        <w:rPr>
          <w:rFonts w:ascii="Garamond" w:eastAsia="Times New Roman" w:hAnsi="Garamond"/>
          <w:sz w:val="20"/>
          <w:szCs w:val="20"/>
          <w:lang w:eastAsia="pt-BR"/>
        </w:rPr>
        <w:t>d</w:t>
      </w:r>
      <w:r w:rsidRPr="00AF7DE9">
        <w:rPr>
          <w:rFonts w:ascii="Garamond" w:eastAsia="Times New Roman" w:hAnsi="Garamond"/>
          <w:sz w:val="20"/>
          <w:szCs w:val="20"/>
          <w:lang w:eastAsia="pt-BR"/>
        </w:rPr>
        <w:t xml:space="preserve">iscriminante pelo </w:t>
      </w:r>
      <w:r w:rsidR="00E20E0D">
        <w:rPr>
          <w:rFonts w:ascii="Garamond" w:eastAsia="Times New Roman" w:hAnsi="Garamond"/>
          <w:sz w:val="20"/>
          <w:szCs w:val="20"/>
          <w:lang w:eastAsia="pt-BR"/>
        </w:rPr>
        <w:t>c</w:t>
      </w:r>
      <w:r w:rsidRPr="00AF7DE9">
        <w:rPr>
          <w:rFonts w:ascii="Garamond" w:eastAsia="Times New Roman" w:hAnsi="Garamond"/>
          <w:sz w:val="20"/>
          <w:szCs w:val="20"/>
          <w:lang w:eastAsia="pt-BR"/>
        </w:rPr>
        <w:t xml:space="preserve">ritério de </w:t>
      </w:r>
      <w:proofErr w:type="spellStart"/>
      <w:r>
        <w:rPr>
          <w:rFonts w:ascii="Garamond" w:eastAsia="Times New Roman" w:hAnsi="Garamond"/>
          <w:sz w:val="20"/>
          <w:szCs w:val="20"/>
          <w:lang w:eastAsia="pt-BR"/>
        </w:rPr>
        <w:t>F</w:t>
      </w:r>
      <w:r w:rsidRPr="00AF7DE9">
        <w:rPr>
          <w:rFonts w:ascii="Garamond" w:eastAsia="Times New Roman" w:hAnsi="Garamond"/>
          <w:sz w:val="20"/>
          <w:szCs w:val="20"/>
          <w:lang w:eastAsia="pt-BR"/>
        </w:rPr>
        <w:t>ornell</w:t>
      </w:r>
      <w:proofErr w:type="spellEnd"/>
      <w:r w:rsidRPr="00AF7DE9">
        <w:rPr>
          <w:rFonts w:ascii="Garamond" w:eastAsia="Times New Roman" w:hAnsi="Garamond"/>
          <w:sz w:val="20"/>
          <w:szCs w:val="20"/>
          <w:lang w:eastAsia="pt-BR"/>
        </w:rPr>
        <w:t xml:space="preserve"> &amp; </w:t>
      </w:r>
      <w:r>
        <w:rPr>
          <w:rFonts w:ascii="Garamond" w:eastAsia="Times New Roman" w:hAnsi="Garamond"/>
          <w:sz w:val="20"/>
          <w:szCs w:val="20"/>
          <w:lang w:eastAsia="pt-BR"/>
        </w:rPr>
        <w:t>L</w:t>
      </w:r>
      <w:r w:rsidRPr="00AF7DE9">
        <w:rPr>
          <w:rFonts w:ascii="Garamond" w:eastAsia="Times New Roman" w:hAnsi="Garamond"/>
          <w:sz w:val="20"/>
          <w:szCs w:val="20"/>
          <w:lang w:eastAsia="pt-BR"/>
        </w:rPr>
        <w:t>acker</w:t>
      </w:r>
    </w:p>
    <w:tbl>
      <w:tblPr>
        <w:tblW w:w="9229" w:type="dxa"/>
        <w:tblInd w:w="55" w:type="dxa"/>
        <w:tblCellMar>
          <w:left w:w="70" w:type="dxa"/>
          <w:right w:w="70" w:type="dxa"/>
        </w:tblCellMar>
        <w:tblLook w:val="04A0" w:firstRow="1" w:lastRow="0" w:firstColumn="1" w:lastColumn="0" w:noHBand="0" w:noVBand="1"/>
      </w:tblPr>
      <w:tblGrid>
        <w:gridCol w:w="3597"/>
        <w:gridCol w:w="813"/>
        <w:gridCol w:w="708"/>
        <w:gridCol w:w="709"/>
        <w:gridCol w:w="851"/>
        <w:gridCol w:w="850"/>
        <w:gridCol w:w="851"/>
        <w:gridCol w:w="850"/>
      </w:tblGrid>
      <w:tr w:rsidR="00354913" w:rsidRPr="00354913" w14:paraId="237283F6" w14:textId="77777777" w:rsidTr="0096187D">
        <w:trPr>
          <w:trHeight w:val="300"/>
        </w:trPr>
        <w:tc>
          <w:tcPr>
            <w:tcW w:w="0" w:type="auto"/>
            <w:tcBorders>
              <w:top w:val="single" w:sz="4" w:space="0" w:color="auto"/>
              <w:bottom w:val="single" w:sz="4" w:space="0" w:color="auto"/>
            </w:tcBorders>
            <w:shd w:val="clear" w:color="auto" w:fill="auto"/>
            <w:noWrap/>
            <w:vAlign w:val="center"/>
            <w:hideMark/>
          </w:tcPr>
          <w:p w14:paraId="5D02E5E8" w14:textId="77777777" w:rsidR="00354913" w:rsidRPr="00354913" w:rsidRDefault="00354913" w:rsidP="0096187D">
            <w:pPr>
              <w:spacing w:after="0"/>
              <w:rPr>
                <w:rFonts w:ascii="Garamond" w:hAnsi="Garamond" w:cs="Arial"/>
                <w:b/>
                <w:bCs/>
                <w:color w:val="000000"/>
                <w:sz w:val="20"/>
                <w:szCs w:val="20"/>
              </w:rPr>
            </w:pPr>
            <w:r w:rsidRPr="00354913">
              <w:rPr>
                <w:rFonts w:ascii="Garamond" w:hAnsi="Garamond" w:cs="Arial"/>
                <w:b/>
                <w:bCs/>
                <w:color w:val="000000"/>
                <w:sz w:val="20"/>
                <w:szCs w:val="20"/>
              </w:rPr>
              <w:t> </w:t>
            </w:r>
          </w:p>
        </w:tc>
        <w:tc>
          <w:tcPr>
            <w:tcW w:w="813" w:type="dxa"/>
            <w:tcBorders>
              <w:top w:val="single" w:sz="4" w:space="0" w:color="auto"/>
              <w:bottom w:val="single" w:sz="4" w:space="0" w:color="auto"/>
            </w:tcBorders>
            <w:shd w:val="clear" w:color="auto" w:fill="auto"/>
            <w:noWrap/>
            <w:vAlign w:val="center"/>
            <w:hideMark/>
          </w:tcPr>
          <w:p w14:paraId="533AEF43" w14:textId="77777777" w:rsidR="00354913" w:rsidRPr="00354913" w:rsidRDefault="00354913" w:rsidP="0096187D">
            <w:pPr>
              <w:spacing w:after="0"/>
              <w:rPr>
                <w:rFonts w:ascii="Garamond" w:hAnsi="Garamond" w:cs="Arial"/>
                <w:bCs/>
                <w:color w:val="000000"/>
                <w:sz w:val="20"/>
                <w:szCs w:val="20"/>
              </w:rPr>
            </w:pPr>
            <w:r w:rsidRPr="00354913">
              <w:rPr>
                <w:rFonts w:ascii="Garamond" w:hAnsi="Garamond" w:cs="Arial"/>
                <w:bCs/>
                <w:color w:val="000000"/>
                <w:sz w:val="20"/>
                <w:szCs w:val="20"/>
              </w:rPr>
              <w:t>BE</w:t>
            </w:r>
          </w:p>
        </w:tc>
        <w:tc>
          <w:tcPr>
            <w:tcW w:w="708" w:type="dxa"/>
            <w:tcBorders>
              <w:top w:val="single" w:sz="4" w:space="0" w:color="auto"/>
              <w:bottom w:val="single" w:sz="4" w:space="0" w:color="auto"/>
            </w:tcBorders>
            <w:shd w:val="clear" w:color="auto" w:fill="auto"/>
            <w:noWrap/>
            <w:vAlign w:val="center"/>
            <w:hideMark/>
          </w:tcPr>
          <w:p w14:paraId="16F9D275" w14:textId="77777777" w:rsidR="00354913" w:rsidRPr="00354913" w:rsidRDefault="00354913" w:rsidP="0096187D">
            <w:pPr>
              <w:spacing w:after="0"/>
              <w:rPr>
                <w:rFonts w:ascii="Garamond" w:hAnsi="Garamond" w:cs="Arial"/>
                <w:bCs/>
                <w:color w:val="000000"/>
                <w:sz w:val="20"/>
                <w:szCs w:val="20"/>
              </w:rPr>
            </w:pPr>
            <w:r w:rsidRPr="00354913">
              <w:rPr>
                <w:rFonts w:ascii="Garamond" w:hAnsi="Garamond" w:cs="Arial"/>
                <w:bCs/>
                <w:color w:val="000000"/>
                <w:sz w:val="20"/>
                <w:szCs w:val="20"/>
              </w:rPr>
              <w:t>CC</w:t>
            </w:r>
          </w:p>
        </w:tc>
        <w:tc>
          <w:tcPr>
            <w:tcW w:w="709" w:type="dxa"/>
            <w:tcBorders>
              <w:top w:val="single" w:sz="4" w:space="0" w:color="auto"/>
              <w:bottom w:val="single" w:sz="4" w:space="0" w:color="auto"/>
            </w:tcBorders>
            <w:shd w:val="clear" w:color="auto" w:fill="auto"/>
            <w:noWrap/>
            <w:vAlign w:val="center"/>
            <w:hideMark/>
          </w:tcPr>
          <w:p w14:paraId="090B8250" w14:textId="77777777" w:rsidR="00354913" w:rsidRPr="00354913" w:rsidRDefault="00354913" w:rsidP="0096187D">
            <w:pPr>
              <w:spacing w:after="0"/>
              <w:rPr>
                <w:rFonts w:ascii="Garamond" w:hAnsi="Garamond" w:cs="Arial"/>
                <w:bCs/>
                <w:color w:val="000000"/>
                <w:sz w:val="20"/>
                <w:szCs w:val="20"/>
              </w:rPr>
            </w:pPr>
            <w:r w:rsidRPr="00354913">
              <w:rPr>
                <w:rFonts w:ascii="Garamond" w:hAnsi="Garamond" w:cs="Arial"/>
                <w:bCs/>
                <w:color w:val="000000"/>
                <w:sz w:val="20"/>
                <w:szCs w:val="20"/>
              </w:rPr>
              <w:t>PC</w:t>
            </w:r>
          </w:p>
        </w:tc>
        <w:tc>
          <w:tcPr>
            <w:tcW w:w="851" w:type="dxa"/>
            <w:tcBorders>
              <w:top w:val="single" w:sz="4" w:space="0" w:color="auto"/>
              <w:bottom w:val="single" w:sz="4" w:space="0" w:color="auto"/>
            </w:tcBorders>
            <w:shd w:val="clear" w:color="auto" w:fill="auto"/>
            <w:noWrap/>
            <w:vAlign w:val="center"/>
            <w:hideMark/>
          </w:tcPr>
          <w:p w14:paraId="1992E632" w14:textId="77777777" w:rsidR="00354913" w:rsidRPr="00354913" w:rsidRDefault="00354913" w:rsidP="0096187D">
            <w:pPr>
              <w:spacing w:after="0"/>
              <w:rPr>
                <w:rFonts w:ascii="Garamond" w:hAnsi="Garamond" w:cs="Arial"/>
                <w:bCs/>
                <w:color w:val="000000"/>
                <w:sz w:val="20"/>
                <w:szCs w:val="20"/>
              </w:rPr>
            </w:pPr>
            <w:r w:rsidRPr="00354913">
              <w:rPr>
                <w:rFonts w:ascii="Garamond" w:hAnsi="Garamond" w:cs="Arial"/>
                <w:bCs/>
                <w:color w:val="000000"/>
                <w:sz w:val="20"/>
                <w:szCs w:val="20"/>
              </w:rPr>
              <w:t>SAV</w:t>
            </w:r>
          </w:p>
        </w:tc>
        <w:tc>
          <w:tcPr>
            <w:tcW w:w="850" w:type="dxa"/>
            <w:tcBorders>
              <w:top w:val="single" w:sz="4" w:space="0" w:color="auto"/>
              <w:bottom w:val="single" w:sz="4" w:space="0" w:color="auto"/>
            </w:tcBorders>
            <w:shd w:val="clear" w:color="auto" w:fill="auto"/>
            <w:noWrap/>
            <w:vAlign w:val="center"/>
            <w:hideMark/>
          </w:tcPr>
          <w:p w14:paraId="3395C94E" w14:textId="77777777" w:rsidR="00354913" w:rsidRPr="00354913" w:rsidRDefault="00354913" w:rsidP="0096187D">
            <w:pPr>
              <w:spacing w:after="0"/>
              <w:rPr>
                <w:rFonts w:ascii="Garamond" w:hAnsi="Garamond" w:cs="Arial"/>
                <w:bCs/>
                <w:color w:val="000000"/>
                <w:sz w:val="20"/>
                <w:szCs w:val="20"/>
              </w:rPr>
            </w:pPr>
            <w:r w:rsidRPr="00354913">
              <w:rPr>
                <w:rFonts w:ascii="Garamond" w:hAnsi="Garamond" w:cs="Arial"/>
                <w:bCs/>
                <w:color w:val="000000"/>
                <w:sz w:val="20"/>
                <w:szCs w:val="20"/>
              </w:rPr>
              <w:t>SIV</w:t>
            </w:r>
          </w:p>
        </w:tc>
        <w:tc>
          <w:tcPr>
            <w:tcW w:w="851" w:type="dxa"/>
            <w:tcBorders>
              <w:top w:val="single" w:sz="4" w:space="0" w:color="auto"/>
              <w:bottom w:val="single" w:sz="4" w:space="0" w:color="auto"/>
            </w:tcBorders>
            <w:shd w:val="clear" w:color="auto" w:fill="auto"/>
            <w:noWrap/>
            <w:vAlign w:val="center"/>
            <w:hideMark/>
          </w:tcPr>
          <w:p w14:paraId="14589792" w14:textId="77777777" w:rsidR="00354913" w:rsidRPr="00354913" w:rsidRDefault="00354913" w:rsidP="0096187D">
            <w:pPr>
              <w:spacing w:after="0"/>
              <w:rPr>
                <w:rFonts w:ascii="Garamond" w:hAnsi="Garamond" w:cs="Arial"/>
                <w:bCs/>
                <w:color w:val="000000"/>
                <w:sz w:val="20"/>
                <w:szCs w:val="20"/>
              </w:rPr>
            </w:pPr>
            <w:r w:rsidRPr="00354913">
              <w:rPr>
                <w:rFonts w:ascii="Garamond" w:hAnsi="Garamond" w:cs="Arial"/>
                <w:bCs/>
                <w:color w:val="000000"/>
                <w:sz w:val="20"/>
                <w:szCs w:val="20"/>
              </w:rPr>
              <w:t>ST</w:t>
            </w:r>
          </w:p>
        </w:tc>
        <w:tc>
          <w:tcPr>
            <w:tcW w:w="850" w:type="dxa"/>
            <w:tcBorders>
              <w:top w:val="single" w:sz="4" w:space="0" w:color="auto"/>
              <w:bottom w:val="single" w:sz="4" w:space="0" w:color="auto"/>
            </w:tcBorders>
            <w:shd w:val="clear" w:color="auto" w:fill="auto"/>
            <w:noWrap/>
            <w:vAlign w:val="center"/>
            <w:hideMark/>
          </w:tcPr>
          <w:p w14:paraId="25BB7489" w14:textId="77777777" w:rsidR="00354913" w:rsidRPr="00354913" w:rsidRDefault="00354913" w:rsidP="0096187D">
            <w:pPr>
              <w:spacing w:after="0"/>
              <w:rPr>
                <w:rFonts w:ascii="Garamond" w:hAnsi="Garamond" w:cs="Arial"/>
                <w:bCs/>
                <w:color w:val="000000"/>
                <w:sz w:val="20"/>
                <w:szCs w:val="20"/>
              </w:rPr>
            </w:pPr>
            <w:r w:rsidRPr="00354913">
              <w:rPr>
                <w:rFonts w:ascii="Garamond" w:hAnsi="Garamond" w:cs="Arial"/>
                <w:bCs/>
                <w:color w:val="000000"/>
                <w:sz w:val="20"/>
                <w:szCs w:val="20"/>
              </w:rPr>
              <w:t>VC</w:t>
            </w:r>
          </w:p>
        </w:tc>
      </w:tr>
      <w:tr w:rsidR="00354913" w:rsidRPr="00354913" w14:paraId="59A9A286" w14:textId="77777777" w:rsidTr="0096187D">
        <w:trPr>
          <w:trHeight w:val="300"/>
        </w:trPr>
        <w:tc>
          <w:tcPr>
            <w:tcW w:w="0" w:type="auto"/>
            <w:tcBorders>
              <w:top w:val="single" w:sz="4" w:space="0" w:color="auto"/>
            </w:tcBorders>
            <w:shd w:val="clear" w:color="auto" w:fill="auto"/>
            <w:noWrap/>
            <w:vAlign w:val="center"/>
            <w:hideMark/>
          </w:tcPr>
          <w:p w14:paraId="7B3D4630" w14:textId="77777777" w:rsidR="00354913" w:rsidRPr="00354913" w:rsidRDefault="00354913" w:rsidP="0096187D">
            <w:pPr>
              <w:spacing w:after="0"/>
              <w:rPr>
                <w:rFonts w:ascii="Garamond" w:hAnsi="Garamond" w:cs="Arial"/>
                <w:b/>
                <w:bCs/>
                <w:color w:val="000000"/>
                <w:sz w:val="20"/>
                <w:szCs w:val="20"/>
              </w:rPr>
            </w:pPr>
            <w:r w:rsidRPr="00354913">
              <w:rPr>
                <w:rFonts w:ascii="Garamond" w:hAnsi="Garamond" w:cs="Arial"/>
                <w:bCs/>
                <w:color w:val="000000"/>
                <w:sz w:val="20"/>
                <w:szCs w:val="20"/>
              </w:rPr>
              <w:t>Bem-estar Existencial (BE)</w:t>
            </w:r>
          </w:p>
        </w:tc>
        <w:tc>
          <w:tcPr>
            <w:tcW w:w="813" w:type="dxa"/>
            <w:tcBorders>
              <w:top w:val="single" w:sz="4" w:space="0" w:color="auto"/>
            </w:tcBorders>
            <w:shd w:val="clear" w:color="auto" w:fill="auto"/>
            <w:noWrap/>
            <w:vAlign w:val="center"/>
            <w:hideMark/>
          </w:tcPr>
          <w:p w14:paraId="78BA86C3" w14:textId="77777777" w:rsidR="00354913" w:rsidRPr="00354913" w:rsidRDefault="00354913" w:rsidP="0096187D">
            <w:pPr>
              <w:spacing w:after="0"/>
              <w:jc w:val="right"/>
              <w:rPr>
                <w:rFonts w:ascii="Garamond" w:hAnsi="Garamond" w:cs="Arial"/>
                <w:b/>
                <w:color w:val="000000"/>
                <w:sz w:val="20"/>
                <w:szCs w:val="20"/>
              </w:rPr>
            </w:pPr>
            <w:r w:rsidRPr="00354913">
              <w:rPr>
                <w:rFonts w:ascii="Garamond" w:hAnsi="Garamond" w:cs="Arial"/>
                <w:b/>
                <w:color w:val="000000"/>
                <w:sz w:val="20"/>
                <w:szCs w:val="20"/>
              </w:rPr>
              <w:t>0,805</w:t>
            </w:r>
          </w:p>
        </w:tc>
        <w:tc>
          <w:tcPr>
            <w:tcW w:w="708" w:type="dxa"/>
            <w:tcBorders>
              <w:top w:val="single" w:sz="4" w:space="0" w:color="auto"/>
            </w:tcBorders>
            <w:shd w:val="clear" w:color="auto" w:fill="auto"/>
            <w:noWrap/>
            <w:vAlign w:val="center"/>
            <w:hideMark/>
          </w:tcPr>
          <w:p w14:paraId="26D0D343"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709" w:type="dxa"/>
            <w:tcBorders>
              <w:top w:val="single" w:sz="4" w:space="0" w:color="auto"/>
            </w:tcBorders>
            <w:shd w:val="clear" w:color="auto" w:fill="auto"/>
            <w:noWrap/>
            <w:vAlign w:val="center"/>
            <w:hideMark/>
          </w:tcPr>
          <w:p w14:paraId="344584E3"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1" w:type="dxa"/>
            <w:tcBorders>
              <w:top w:val="single" w:sz="4" w:space="0" w:color="auto"/>
            </w:tcBorders>
            <w:shd w:val="clear" w:color="auto" w:fill="auto"/>
            <w:noWrap/>
            <w:vAlign w:val="center"/>
            <w:hideMark/>
          </w:tcPr>
          <w:p w14:paraId="6A07C03E"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0" w:type="dxa"/>
            <w:tcBorders>
              <w:top w:val="single" w:sz="4" w:space="0" w:color="auto"/>
            </w:tcBorders>
            <w:shd w:val="clear" w:color="auto" w:fill="auto"/>
            <w:noWrap/>
            <w:vAlign w:val="center"/>
            <w:hideMark/>
          </w:tcPr>
          <w:p w14:paraId="46670B2D"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1" w:type="dxa"/>
            <w:tcBorders>
              <w:top w:val="single" w:sz="4" w:space="0" w:color="auto"/>
            </w:tcBorders>
            <w:shd w:val="clear" w:color="auto" w:fill="auto"/>
            <w:noWrap/>
            <w:vAlign w:val="center"/>
            <w:hideMark/>
          </w:tcPr>
          <w:p w14:paraId="7A249277"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0" w:type="dxa"/>
            <w:tcBorders>
              <w:top w:val="single" w:sz="4" w:space="0" w:color="auto"/>
            </w:tcBorders>
            <w:shd w:val="clear" w:color="auto" w:fill="auto"/>
            <w:noWrap/>
            <w:vAlign w:val="center"/>
            <w:hideMark/>
          </w:tcPr>
          <w:p w14:paraId="6813C641"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r>
      <w:tr w:rsidR="00354913" w:rsidRPr="00354913" w14:paraId="23E2FE04" w14:textId="77777777" w:rsidTr="0096187D">
        <w:trPr>
          <w:trHeight w:val="300"/>
        </w:trPr>
        <w:tc>
          <w:tcPr>
            <w:tcW w:w="0" w:type="auto"/>
            <w:tcBorders>
              <w:top w:val="nil"/>
            </w:tcBorders>
            <w:shd w:val="clear" w:color="auto" w:fill="auto"/>
            <w:noWrap/>
            <w:vAlign w:val="center"/>
            <w:hideMark/>
          </w:tcPr>
          <w:p w14:paraId="5BCCD2A2" w14:textId="77777777" w:rsidR="00354913" w:rsidRPr="00354913" w:rsidRDefault="00354913" w:rsidP="0096187D">
            <w:pPr>
              <w:spacing w:after="0"/>
              <w:rPr>
                <w:rFonts w:ascii="Garamond" w:hAnsi="Garamond" w:cs="Arial"/>
                <w:b/>
                <w:bCs/>
                <w:color w:val="000000"/>
                <w:sz w:val="20"/>
                <w:szCs w:val="20"/>
              </w:rPr>
            </w:pPr>
            <w:r w:rsidRPr="00354913">
              <w:rPr>
                <w:rFonts w:ascii="Garamond" w:hAnsi="Garamond" w:cs="Arial"/>
                <w:bCs/>
                <w:color w:val="000000"/>
                <w:sz w:val="20"/>
                <w:szCs w:val="20"/>
              </w:rPr>
              <w:t>Comprometimento com a carreira (CC)</w:t>
            </w:r>
          </w:p>
        </w:tc>
        <w:tc>
          <w:tcPr>
            <w:tcW w:w="813" w:type="dxa"/>
            <w:tcBorders>
              <w:top w:val="nil"/>
            </w:tcBorders>
            <w:shd w:val="clear" w:color="auto" w:fill="auto"/>
            <w:noWrap/>
            <w:vAlign w:val="center"/>
            <w:hideMark/>
          </w:tcPr>
          <w:p w14:paraId="5BB97687"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0,390</w:t>
            </w:r>
          </w:p>
        </w:tc>
        <w:tc>
          <w:tcPr>
            <w:tcW w:w="708" w:type="dxa"/>
            <w:tcBorders>
              <w:top w:val="nil"/>
            </w:tcBorders>
            <w:shd w:val="clear" w:color="auto" w:fill="auto"/>
            <w:noWrap/>
            <w:vAlign w:val="center"/>
            <w:hideMark/>
          </w:tcPr>
          <w:p w14:paraId="75050589" w14:textId="77777777" w:rsidR="00354913" w:rsidRPr="00354913" w:rsidRDefault="00354913" w:rsidP="0096187D">
            <w:pPr>
              <w:spacing w:after="0"/>
              <w:jc w:val="right"/>
              <w:rPr>
                <w:rFonts w:ascii="Garamond" w:hAnsi="Garamond" w:cs="Arial"/>
                <w:b/>
                <w:color w:val="000000"/>
                <w:sz w:val="20"/>
                <w:szCs w:val="20"/>
              </w:rPr>
            </w:pPr>
            <w:r w:rsidRPr="00354913">
              <w:rPr>
                <w:rFonts w:ascii="Garamond" w:hAnsi="Garamond" w:cs="Arial"/>
                <w:b/>
                <w:color w:val="000000"/>
                <w:sz w:val="20"/>
                <w:szCs w:val="20"/>
              </w:rPr>
              <w:t>0,708</w:t>
            </w:r>
          </w:p>
        </w:tc>
        <w:tc>
          <w:tcPr>
            <w:tcW w:w="709" w:type="dxa"/>
            <w:tcBorders>
              <w:top w:val="nil"/>
            </w:tcBorders>
            <w:shd w:val="clear" w:color="auto" w:fill="auto"/>
            <w:noWrap/>
            <w:vAlign w:val="center"/>
            <w:hideMark/>
          </w:tcPr>
          <w:p w14:paraId="5CB25992"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1" w:type="dxa"/>
            <w:tcBorders>
              <w:top w:val="nil"/>
            </w:tcBorders>
            <w:shd w:val="clear" w:color="auto" w:fill="auto"/>
            <w:noWrap/>
            <w:vAlign w:val="center"/>
            <w:hideMark/>
          </w:tcPr>
          <w:p w14:paraId="4123192B"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0" w:type="dxa"/>
            <w:tcBorders>
              <w:top w:val="nil"/>
            </w:tcBorders>
            <w:shd w:val="clear" w:color="auto" w:fill="auto"/>
            <w:noWrap/>
            <w:vAlign w:val="center"/>
            <w:hideMark/>
          </w:tcPr>
          <w:p w14:paraId="7A896C5F"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1" w:type="dxa"/>
            <w:tcBorders>
              <w:top w:val="nil"/>
            </w:tcBorders>
            <w:shd w:val="clear" w:color="auto" w:fill="auto"/>
            <w:noWrap/>
            <w:vAlign w:val="center"/>
            <w:hideMark/>
          </w:tcPr>
          <w:p w14:paraId="050F6BFB"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0" w:type="dxa"/>
            <w:tcBorders>
              <w:top w:val="nil"/>
            </w:tcBorders>
            <w:shd w:val="clear" w:color="auto" w:fill="auto"/>
            <w:noWrap/>
            <w:vAlign w:val="center"/>
            <w:hideMark/>
          </w:tcPr>
          <w:p w14:paraId="3BAE2C37"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r>
      <w:tr w:rsidR="00354913" w:rsidRPr="00354913" w14:paraId="3E7043DF" w14:textId="77777777" w:rsidTr="0096187D">
        <w:trPr>
          <w:trHeight w:val="300"/>
        </w:trPr>
        <w:tc>
          <w:tcPr>
            <w:tcW w:w="0" w:type="auto"/>
            <w:tcBorders>
              <w:top w:val="nil"/>
            </w:tcBorders>
            <w:shd w:val="clear" w:color="auto" w:fill="auto"/>
            <w:noWrap/>
            <w:vAlign w:val="center"/>
            <w:hideMark/>
          </w:tcPr>
          <w:p w14:paraId="5637B698" w14:textId="77777777" w:rsidR="00354913" w:rsidRPr="00354913" w:rsidRDefault="00354913" w:rsidP="0096187D">
            <w:pPr>
              <w:spacing w:after="0"/>
              <w:rPr>
                <w:rFonts w:ascii="Garamond" w:hAnsi="Garamond" w:cs="Arial"/>
                <w:b/>
                <w:bCs/>
                <w:color w:val="000000"/>
                <w:sz w:val="20"/>
                <w:szCs w:val="20"/>
              </w:rPr>
            </w:pPr>
            <w:r w:rsidRPr="00354913">
              <w:rPr>
                <w:rFonts w:ascii="Garamond" w:hAnsi="Garamond" w:cs="Arial"/>
                <w:bCs/>
                <w:color w:val="000000"/>
                <w:sz w:val="20"/>
                <w:szCs w:val="20"/>
              </w:rPr>
              <w:t>Perceber um chamado (PC)</w:t>
            </w:r>
          </w:p>
        </w:tc>
        <w:tc>
          <w:tcPr>
            <w:tcW w:w="813" w:type="dxa"/>
            <w:tcBorders>
              <w:top w:val="nil"/>
            </w:tcBorders>
            <w:shd w:val="clear" w:color="auto" w:fill="auto"/>
            <w:noWrap/>
            <w:vAlign w:val="center"/>
            <w:hideMark/>
          </w:tcPr>
          <w:p w14:paraId="3264C893"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0,176</w:t>
            </w:r>
          </w:p>
        </w:tc>
        <w:tc>
          <w:tcPr>
            <w:tcW w:w="708" w:type="dxa"/>
            <w:tcBorders>
              <w:top w:val="nil"/>
            </w:tcBorders>
            <w:shd w:val="clear" w:color="auto" w:fill="auto"/>
            <w:noWrap/>
            <w:vAlign w:val="center"/>
            <w:hideMark/>
          </w:tcPr>
          <w:p w14:paraId="5F6F83B2"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0,388</w:t>
            </w:r>
          </w:p>
        </w:tc>
        <w:tc>
          <w:tcPr>
            <w:tcW w:w="709" w:type="dxa"/>
            <w:tcBorders>
              <w:top w:val="nil"/>
            </w:tcBorders>
            <w:shd w:val="clear" w:color="auto" w:fill="auto"/>
            <w:noWrap/>
            <w:vAlign w:val="center"/>
            <w:hideMark/>
          </w:tcPr>
          <w:p w14:paraId="541C2AC4" w14:textId="77777777" w:rsidR="00354913" w:rsidRPr="00354913" w:rsidRDefault="00354913" w:rsidP="0096187D">
            <w:pPr>
              <w:spacing w:after="0"/>
              <w:jc w:val="right"/>
              <w:rPr>
                <w:rFonts w:ascii="Garamond" w:hAnsi="Garamond" w:cs="Arial"/>
                <w:b/>
                <w:color w:val="000000"/>
                <w:sz w:val="20"/>
                <w:szCs w:val="20"/>
              </w:rPr>
            </w:pPr>
            <w:r w:rsidRPr="00354913">
              <w:rPr>
                <w:rFonts w:ascii="Garamond" w:hAnsi="Garamond" w:cs="Arial"/>
                <w:b/>
                <w:color w:val="000000"/>
                <w:sz w:val="20"/>
                <w:szCs w:val="20"/>
              </w:rPr>
              <w:t>0,919</w:t>
            </w:r>
          </w:p>
        </w:tc>
        <w:tc>
          <w:tcPr>
            <w:tcW w:w="851" w:type="dxa"/>
            <w:tcBorders>
              <w:top w:val="nil"/>
            </w:tcBorders>
            <w:shd w:val="clear" w:color="auto" w:fill="auto"/>
            <w:noWrap/>
            <w:vAlign w:val="center"/>
            <w:hideMark/>
          </w:tcPr>
          <w:p w14:paraId="57A178A5"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0" w:type="dxa"/>
            <w:tcBorders>
              <w:top w:val="nil"/>
            </w:tcBorders>
            <w:shd w:val="clear" w:color="auto" w:fill="auto"/>
            <w:noWrap/>
            <w:vAlign w:val="center"/>
            <w:hideMark/>
          </w:tcPr>
          <w:p w14:paraId="689E2ACE"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1" w:type="dxa"/>
            <w:tcBorders>
              <w:top w:val="nil"/>
            </w:tcBorders>
            <w:shd w:val="clear" w:color="auto" w:fill="auto"/>
            <w:noWrap/>
            <w:vAlign w:val="center"/>
            <w:hideMark/>
          </w:tcPr>
          <w:p w14:paraId="16DD0B03"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0" w:type="dxa"/>
            <w:tcBorders>
              <w:top w:val="nil"/>
            </w:tcBorders>
            <w:shd w:val="clear" w:color="auto" w:fill="auto"/>
            <w:noWrap/>
            <w:vAlign w:val="center"/>
            <w:hideMark/>
          </w:tcPr>
          <w:p w14:paraId="38FC3454"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r>
      <w:tr w:rsidR="00354913" w:rsidRPr="00354913" w14:paraId="2E6794AD" w14:textId="77777777" w:rsidTr="0096187D">
        <w:trPr>
          <w:trHeight w:val="300"/>
        </w:trPr>
        <w:tc>
          <w:tcPr>
            <w:tcW w:w="0" w:type="auto"/>
            <w:tcBorders>
              <w:top w:val="nil"/>
            </w:tcBorders>
            <w:shd w:val="clear" w:color="auto" w:fill="auto"/>
            <w:noWrap/>
            <w:vAlign w:val="center"/>
            <w:hideMark/>
          </w:tcPr>
          <w:p w14:paraId="73E8952E" w14:textId="77777777" w:rsidR="00354913" w:rsidRPr="00354913" w:rsidRDefault="00354913" w:rsidP="0096187D">
            <w:pPr>
              <w:spacing w:after="0"/>
              <w:rPr>
                <w:rFonts w:ascii="Garamond" w:hAnsi="Garamond" w:cs="Arial"/>
                <w:b/>
                <w:bCs/>
                <w:color w:val="000000"/>
                <w:sz w:val="20"/>
                <w:szCs w:val="20"/>
              </w:rPr>
            </w:pPr>
            <w:r w:rsidRPr="00354913">
              <w:rPr>
                <w:rFonts w:ascii="Garamond" w:hAnsi="Garamond" w:cs="Arial"/>
                <w:bCs/>
                <w:color w:val="000000"/>
                <w:sz w:val="20"/>
                <w:szCs w:val="20"/>
              </w:rPr>
              <w:t>Satisfação com a vida (SAV)</w:t>
            </w:r>
          </w:p>
        </w:tc>
        <w:tc>
          <w:tcPr>
            <w:tcW w:w="813" w:type="dxa"/>
            <w:tcBorders>
              <w:top w:val="nil"/>
            </w:tcBorders>
            <w:shd w:val="clear" w:color="auto" w:fill="auto"/>
            <w:noWrap/>
            <w:vAlign w:val="center"/>
            <w:hideMark/>
          </w:tcPr>
          <w:p w14:paraId="3CAFF761"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0,485</w:t>
            </w:r>
          </w:p>
        </w:tc>
        <w:tc>
          <w:tcPr>
            <w:tcW w:w="708" w:type="dxa"/>
            <w:tcBorders>
              <w:top w:val="nil"/>
            </w:tcBorders>
            <w:shd w:val="clear" w:color="auto" w:fill="auto"/>
            <w:noWrap/>
            <w:vAlign w:val="center"/>
            <w:hideMark/>
          </w:tcPr>
          <w:p w14:paraId="45B20CD8"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0,478</w:t>
            </w:r>
          </w:p>
        </w:tc>
        <w:tc>
          <w:tcPr>
            <w:tcW w:w="709" w:type="dxa"/>
            <w:tcBorders>
              <w:top w:val="nil"/>
            </w:tcBorders>
            <w:shd w:val="clear" w:color="auto" w:fill="auto"/>
            <w:noWrap/>
            <w:vAlign w:val="center"/>
            <w:hideMark/>
          </w:tcPr>
          <w:p w14:paraId="5AA394AE"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0,324</w:t>
            </w:r>
          </w:p>
        </w:tc>
        <w:tc>
          <w:tcPr>
            <w:tcW w:w="851" w:type="dxa"/>
            <w:tcBorders>
              <w:top w:val="nil"/>
            </w:tcBorders>
            <w:shd w:val="clear" w:color="auto" w:fill="auto"/>
            <w:noWrap/>
            <w:vAlign w:val="center"/>
            <w:hideMark/>
          </w:tcPr>
          <w:p w14:paraId="508BCBB9" w14:textId="77777777" w:rsidR="00354913" w:rsidRPr="00354913" w:rsidRDefault="00354913" w:rsidP="0096187D">
            <w:pPr>
              <w:spacing w:after="0"/>
              <w:jc w:val="right"/>
              <w:rPr>
                <w:rFonts w:ascii="Garamond" w:hAnsi="Garamond" w:cs="Arial"/>
                <w:b/>
                <w:color w:val="000000"/>
                <w:sz w:val="20"/>
                <w:szCs w:val="20"/>
              </w:rPr>
            </w:pPr>
            <w:r w:rsidRPr="00354913">
              <w:rPr>
                <w:rFonts w:ascii="Garamond" w:hAnsi="Garamond" w:cs="Arial"/>
                <w:b/>
                <w:color w:val="000000"/>
                <w:sz w:val="20"/>
                <w:szCs w:val="20"/>
              </w:rPr>
              <w:t>0,812</w:t>
            </w:r>
          </w:p>
        </w:tc>
        <w:tc>
          <w:tcPr>
            <w:tcW w:w="850" w:type="dxa"/>
            <w:tcBorders>
              <w:top w:val="nil"/>
            </w:tcBorders>
            <w:shd w:val="clear" w:color="auto" w:fill="auto"/>
            <w:noWrap/>
            <w:vAlign w:val="center"/>
            <w:hideMark/>
          </w:tcPr>
          <w:p w14:paraId="1E13635B"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1" w:type="dxa"/>
            <w:tcBorders>
              <w:top w:val="nil"/>
            </w:tcBorders>
            <w:shd w:val="clear" w:color="auto" w:fill="auto"/>
            <w:noWrap/>
            <w:vAlign w:val="center"/>
            <w:hideMark/>
          </w:tcPr>
          <w:p w14:paraId="68D76A28"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0" w:type="dxa"/>
            <w:tcBorders>
              <w:top w:val="nil"/>
            </w:tcBorders>
            <w:shd w:val="clear" w:color="auto" w:fill="auto"/>
            <w:noWrap/>
            <w:vAlign w:val="center"/>
            <w:hideMark/>
          </w:tcPr>
          <w:p w14:paraId="2B10610A"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r>
      <w:tr w:rsidR="00354913" w:rsidRPr="00354913" w14:paraId="4500DA7F" w14:textId="77777777" w:rsidTr="0096187D">
        <w:trPr>
          <w:trHeight w:val="300"/>
        </w:trPr>
        <w:tc>
          <w:tcPr>
            <w:tcW w:w="0" w:type="auto"/>
            <w:tcBorders>
              <w:top w:val="nil"/>
            </w:tcBorders>
            <w:shd w:val="clear" w:color="auto" w:fill="auto"/>
            <w:noWrap/>
            <w:vAlign w:val="center"/>
            <w:hideMark/>
          </w:tcPr>
          <w:p w14:paraId="56BF74BB" w14:textId="77777777" w:rsidR="00354913" w:rsidRPr="00354913" w:rsidRDefault="00354913" w:rsidP="0096187D">
            <w:pPr>
              <w:spacing w:after="0"/>
              <w:rPr>
                <w:rFonts w:ascii="Garamond" w:hAnsi="Garamond" w:cs="Arial"/>
                <w:b/>
                <w:bCs/>
                <w:color w:val="000000"/>
                <w:sz w:val="20"/>
                <w:szCs w:val="20"/>
              </w:rPr>
            </w:pPr>
            <w:r w:rsidRPr="00354913">
              <w:rPr>
                <w:rFonts w:ascii="Garamond" w:hAnsi="Garamond" w:cs="Arial"/>
                <w:bCs/>
                <w:color w:val="000000"/>
                <w:sz w:val="20"/>
                <w:szCs w:val="20"/>
              </w:rPr>
              <w:t>Significado da vida (SIV)</w:t>
            </w:r>
          </w:p>
        </w:tc>
        <w:tc>
          <w:tcPr>
            <w:tcW w:w="813" w:type="dxa"/>
            <w:tcBorders>
              <w:top w:val="nil"/>
            </w:tcBorders>
            <w:shd w:val="clear" w:color="auto" w:fill="auto"/>
            <w:noWrap/>
            <w:vAlign w:val="center"/>
            <w:hideMark/>
          </w:tcPr>
          <w:p w14:paraId="09EE1981"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0,400</w:t>
            </w:r>
          </w:p>
        </w:tc>
        <w:tc>
          <w:tcPr>
            <w:tcW w:w="708" w:type="dxa"/>
            <w:tcBorders>
              <w:top w:val="nil"/>
            </w:tcBorders>
            <w:shd w:val="clear" w:color="auto" w:fill="auto"/>
            <w:noWrap/>
            <w:vAlign w:val="center"/>
            <w:hideMark/>
          </w:tcPr>
          <w:p w14:paraId="0E552F1A"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0,399</w:t>
            </w:r>
          </w:p>
        </w:tc>
        <w:tc>
          <w:tcPr>
            <w:tcW w:w="709" w:type="dxa"/>
            <w:tcBorders>
              <w:top w:val="nil"/>
            </w:tcBorders>
            <w:shd w:val="clear" w:color="auto" w:fill="auto"/>
            <w:noWrap/>
            <w:vAlign w:val="center"/>
            <w:hideMark/>
          </w:tcPr>
          <w:p w14:paraId="74FCA5A0"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0,474</w:t>
            </w:r>
          </w:p>
        </w:tc>
        <w:tc>
          <w:tcPr>
            <w:tcW w:w="851" w:type="dxa"/>
            <w:tcBorders>
              <w:top w:val="nil"/>
            </w:tcBorders>
            <w:shd w:val="clear" w:color="auto" w:fill="auto"/>
            <w:noWrap/>
            <w:vAlign w:val="center"/>
            <w:hideMark/>
          </w:tcPr>
          <w:p w14:paraId="1B6AD946"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0,527</w:t>
            </w:r>
          </w:p>
        </w:tc>
        <w:tc>
          <w:tcPr>
            <w:tcW w:w="850" w:type="dxa"/>
            <w:tcBorders>
              <w:top w:val="nil"/>
            </w:tcBorders>
            <w:shd w:val="clear" w:color="auto" w:fill="auto"/>
            <w:noWrap/>
            <w:vAlign w:val="center"/>
            <w:hideMark/>
          </w:tcPr>
          <w:p w14:paraId="6D1E0681" w14:textId="77777777" w:rsidR="00354913" w:rsidRPr="00354913" w:rsidRDefault="00354913" w:rsidP="0096187D">
            <w:pPr>
              <w:spacing w:after="0"/>
              <w:jc w:val="right"/>
              <w:rPr>
                <w:rFonts w:ascii="Garamond" w:hAnsi="Garamond" w:cs="Arial"/>
                <w:b/>
                <w:color w:val="000000"/>
                <w:sz w:val="20"/>
                <w:szCs w:val="20"/>
              </w:rPr>
            </w:pPr>
            <w:r w:rsidRPr="00354913">
              <w:rPr>
                <w:rFonts w:ascii="Garamond" w:hAnsi="Garamond" w:cs="Arial"/>
                <w:b/>
                <w:color w:val="000000"/>
                <w:sz w:val="20"/>
                <w:szCs w:val="20"/>
              </w:rPr>
              <w:t>0,819</w:t>
            </w:r>
          </w:p>
        </w:tc>
        <w:tc>
          <w:tcPr>
            <w:tcW w:w="851" w:type="dxa"/>
            <w:tcBorders>
              <w:top w:val="nil"/>
            </w:tcBorders>
            <w:shd w:val="clear" w:color="auto" w:fill="auto"/>
            <w:noWrap/>
            <w:vAlign w:val="center"/>
            <w:hideMark/>
          </w:tcPr>
          <w:p w14:paraId="33EC65EB"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c>
          <w:tcPr>
            <w:tcW w:w="850" w:type="dxa"/>
            <w:tcBorders>
              <w:top w:val="nil"/>
            </w:tcBorders>
            <w:shd w:val="clear" w:color="auto" w:fill="auto"/>
            <w:noWrap/>
            <w:vAlign w:val="center"/>
            <w:hideMark/>
          </w:tcPr>
          <w:p w14:paraId="0F0EC74F"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r>
      <w:tr w:rsidR="00354913" w:rsidRPr="00354913" w14:paraId="5FBDD967" w14:textId="77777777" w:rsidTr="0096187D">
        <w:trPr>
          <w:trHeight w:val="300"/>
        </w:trPr>
        <w:tc>
          <w:tcPr>
            <w:tcW w:w="0" w:type="auto"/>
            <w:tcBorders>
              <w:top w:val="nil"/>
            </w:tcBorders>
            <w:shd w:val="clear" w:color="auto" w:fill="auto"/>
            <w:noWrap/>
            <w:vAlign w:val="center"/>
            <w:hideMark/>
          </w:tcPr>
          <w:p w14:paraId="4CCB07D6" w14:textId="77777777" w:rsidR="00354913" w:rsidRPr="00354913" w:rsidRDefault="00354913" w:rsidP="0096187D">
            <w:pPr>
              <w:spacing w:after="0"/>
              <w:rPr>
                <w:rFonts w:ascii="Garamond" w:hAnsi="Garamond" w:cs="Arial"/>
                <w:b/>
                <w:bCs/>
                <w:color w:val="000000"/>
                <w:sz w:val="20"/>
                <w:szCs w:val="20"/>
              </w:rPr>
            </w:pPr>
            <w:r w:rsidRPr="00354913">
              <w:rPr>
                <w:rFonts w:ascii="Garamond" w:hAnsi="Garamond" w:cs="Arial"/>
                <w:bCs/>
                <w:color w:val="000000"/>
                <w:sz w:val="20"/>
                <w:szCs w:val="20"/>
              </w:rPr>
              <w:t>Satisfação no trabalho (ST)</w:t>
            </w:r>
          </w:p>
        </w:tc>
        <w:tc>
          <w:tcPr>
            <w:tcW w:w="813" w:type="dxa"/>
            <w:tcBorders>
              <w:top w:val="nil"/>
            </w:tcBorders>
            <w:shd w:val="clear" w:color="auto" w:fill="auto"/>
            <w:noWrap/>
            <w:vAlign w:val="center"/>
            <w:hideMark/>
          </w:tcPr>
          <w:p w14:paraId="23F88472"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0,492</w:t>
            </w:r>
          </w:p>
        </w:tc>
        <w:tc>
          <w:tcPr>
            <w:tcW w:w="708" w:type="dxa"/>
            <w:tcBorders>
              <w:top w:val="nil"/>
            </w:tcBorders>
            <w:shd w:val="clear" w:color="auto" w:fill="auto"/>
            <w:noWrap/>
            <w:vAlign w:val="center"/>
            <w:hideMark/>
          </w:tcPr>
          <w:p w14:paraId="0FFDCBE1"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0,662</w:t>
            </w:r>
          </w:p>
        </w:tc>
        <w:tc>
          <w:tcPr>
            <w:tcW w:w="709" w:type="dxa"/>
            <w:tcBorders>
              <w:top w:val="nil"/>
            </w:tcBorders>
            <w:shd w:val="clear" w:color="auto" w:fill="auto"/>
            <w:noWrap/>
            <w:vAlign w:val="center"/>
            <w:hideMark/>
          </w:tcPr>
          <w:p w14:paraId="16832EA3"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0,305</w:t>
            </w:r>
          </w:p>
        </w:tc>
        <w:tc>
          <w:tcPr>
            <w:tcW w:w="851" w:type="dxa"/>
            <w:tcBorders>
              <w:top w:val="nil"/>
            </w:tcBorders>
            <w:shd w:val="clear" w:color="auto" w:fill="auto"/>
            <w:noWrap/>
            <w:vAlign w:val="center"/>
            <w:hideMark/>
          </w:tcPr>
          <w:p w14:paraId="41A0EA06"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0,677</w:t>
            </w:r>
          </w:p>
        </w:tc>
        <w:tc>
          <w:tcPr>
            <w:tcW w:w="850" w:type="dxa"/>
            <w:tcBorders>
              <w:top w:val="nil"/>
            </w:tcBorders>
            <w:shd w:val="clear" w:color="auto" w:fill="auto"/>
            <w:noWrap/>
            <w:vAlign w:val="center"/>
            <w:hideMark/>
          </w:tcPr>
          <w:p w14:paraId="553EB49B"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0,385</w:t>
            </w:r>
          </w:p>
        </w:tc>
        <w:tc>
          <w:tcPr>
            <w:tcW w:w="851" w:type="dxa"/>
            <w:tcBorders>
              <w:top w:val="nil"/>
            </w:tcBorders>
            <w:shd w:val="clear" w:color="auto" w:fill="auto"/>
            <w:noWrap/>
            <w:vAlign w:val="center"/>
            <w:hideMark/>
          </w:tcPr>
          <w:p w14:paraId="61A382A3" w14:textId="77777777" w:rsidR="00354913" w:rsidRPr="00354913" w:rsidRDefault="00354913" w:rsidP="0096187D">
            <w:pPr>
              <w:spacing w:after="0"/>
              <w:jc w:val="right"/>
              <w:rPr>
                <w:rFonts w:ascii="Garamond" w:hAnsi="Garamond" w:cs="Arial"/>
                <w:b/>
                <w:color w:val="000000"/>
                <w:sz w:val="20"/>
                <w:szCs w:val="20"/>
              </w:rPr>
            </w:pPr>
            <w:r w:rsidRPr="00354913">
              <w:rPr>
                <w:rFonts w:ascii="Garamond" w:hAnsi="Garamond" w:cs="Arial"/>
                <w:b/>
                <w:color w:val="000000"/>
                <w:sz w:val="20"/>
                <w:szCs w:val="20"/>
              </w:rPr>
              <w:t>0,853</w:t>
            </w:r>
          </w:p>
        </w:tc>
        <w:tc>
          <w:tcPr>
            <w:tcW w:w="850" w:type="dxa"/>
            <w:tcBorders>
              <w:top w:val="nil"/>
            </w:tcBorders>
            <w:shd w:val="clear" w:color="auto" w:fill="auto"/>
            <w:noWrap/>
            <w:vAlign w:val="center"/>
            <w:hideMark/>
          </w:tcPr>
          <w:p w14:paraId="58D7895F" w14:textId="77777777" w:rsidR="00354913" w:rsidRPr="00354913" w:rsidRDefault="00354913" w:rsidP="0096187D">
            <w:pPr>
              <w:spacing w:after="0"/>
              <w:rPr>
                <w:rFonts w:ascii="Garamond" w:hAnsi="Garamond" w:cs="Arial"/>
                <w:color w:val="000000"/>
                <w:sz w:val="20"/>
                <w:szCs w:val="20"/>
              </w:rPr>
            </w:pPr>
            <w:r w:rsidRPr="00354913">
              <w:rPr>
                <w:rFonts w:ascii="Garamond" w:hAnsi="Garamond" w:cs="Arial"/>
                <w:color w:val="000000"/>
                <w:sz w:val="20"/>
                <w:szCs w:val="20"/>
              </w:rPr>
              <w:t> </w:t>
            </w:r>
          </w:p>
        </w:tc>
      </w:tr>
      <w:tr w:rsidR="00354913" w:rsidRPr="00354913" w14:paraId="7E20DB00" w14:textId="77777777" w:rsidTr="0096187D">
        <w:trPr>
          <w:trHeight w:val="300"/>
        </w:trPr>
        <w:tc>
          <w:tcPr>
            <w:tcW w:w="0" w:type="auto"/>
            <w:tcBorders>
              <w:top w:val="nil"/>
              <w:bottom w:val="single" w:sz="4" w:space="0" w:color="auto"/>
            </w:tcBorders>
            <w:shd w:val="clear" w:color="auto" w:fill="auto"/>
            <w:noWrap/>
            <w:vAlign w:val="center"/>
            <w:hideMark/>
          </w:tcPr>
          <w:p w14:paraId="114A20BC" w14:textId="77777777" w:rsidR="00354913" w:rsidRPr="00354913" w:rsidRDefault="00354913" w:rsidP="0096187D">
            <w:pPr>
              <w:spacing w:after="0"/>
              <w:rPr>
                <w:rFonts w:ascii="Garamond" w:hAnsi="Garamond" w:cs="Arial"/>
                <w:b/>
                <w:bCs/>
                <w:color w:val="000000"/>
                <w:sz w:val="20"/>
                <w:szCs w:val="20"/>
              </w:rPr>
            </w:pPr>
            <w:r w:rsidRPr="00354913">
              <w:rPr>
                <w:rFonts w:ascii="Garamond" w:hAnsi="Garamond" w:cs="Arial"/>
                <w:bCs/>
                <w:color w:val="000000"/>
                <w:sz w:val="20"/>
                <w:szCs w:val="20"/>
              </w:rPr>
              <w:t>Viver um chamado (VC)</w:t>
            </w:r>
          </w:p>
        </w:tc>
        <w:tc>
          <w:tcPr>
            <w:tcW w:w="813" w:type="dxa"/>
            <w:tcBorders>
              <w:top w:val="nil"/>
              <w:bottom w:val="single" w:sz="4" w:space="0" w:color="auto"/>
            </w:tcBorders>
            <w:shd w:val="clear" w:color="auto" w:fill="auto"/>
            <w:noWrap/>
            <w:vAlign w:val="center"/>
            <w:hideMark/>
          </w:tcPr>
          <w:p w14:paraId="63D67761"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0,274</w:t>
            </w:r>
          </w:p>
        </w:tc>
        <w:tc>
          <w:tcPr>
            <w:tcW w:w="708" w:type="dxa"/>
            <w:tcBorders>
              <w:top w:val="nil"/>
              <w:bottom w:val="single" w:sz="4" w:space="0" w:color="auto"/>
            </w:tcBorders>
            <w:shd w:val="clear" w:color="auto" w:fill="auto"/>
            <w:noWrap/>
            <w:vAlign w:val="center"/>
            <w:hideMark/>
          </w:tcPr>
          <w:p w14:paraId="35AEAF16"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0,643</w:t>
            </w:r>
          </w:p>
        </w:tc>
        <w:tc>
          <w:tcPr>
            <w:tcW w:w="709" w:type="dxa"/>
            <w:tcBorders>
              <w:top w:val="nil"/>
              <w:bottom w:val="single" w:sz="4" w:space="0" w:color="auto"/>
            </w:tcBorders>
            <w:shd w:val="clear" w:color="auto" w:fill="auto"/>
            <w:noWrap/>
            <w:vAlign w:val="center"/>
            <w:hideMark/>
          </w:tcPr>
          <w:p w14:paraId="097FB996"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0,680</w:t>
            </w:r>
          </w:p>
        </w:tc>
        <w:tc>
          <w:tcPr>
            <w:tcW w:w="851" w:type="dxa"/>
            <w:tcBorders>
              <w:top w:val="nil"/>
              <w:bottom w:val="single" w:sz="4" w:space="0" w:color="auto"/>
            </w:tcBorders>
            <w:shd w:val="clear" w:color="auto" w:fill="auto"/>
            <w:noWrap/>
            <w:vAlign w:val="center"/>
            <w:hideMark/>
          </w:tcPr>
          <w:p w14:paraId="03FF53C3"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0,467</w:t>
            </w:r>
          </w:p>
        </w:tc>
        <w:tc>
          <w:tcPr>
            <w:tcW w:w="850" w:type="dxa"/>
            <w:tcBorders>
              <w:top w:val="nil"/>
              <w:bottom w:val="single" w:sz="4" w:space="0" w:color="auto"/>
            </w:tcBorders>
            <w:shd w:val="clear" w:color="auto" w:fill="auto"/>
            <w:noWrap/>
            <w:vAlign w:val="center"/>
            <w:hideMark/>
          </w:tcPr>
          <w:p w14:paraId="753D1004"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0,487</w:t>
            </w:r>
          </w:p>
        </w:tc>
        <w:tc>
          <w:tcPr>
            <w:tcW w:w="851" w:type="dxa"/>
            <w:tcBorders>
              <w:top w:val="nil"/>
              <w:bottom w:val="single" w:sz="4" w:space="0" w:color="auto"/>
            </w:tcBorders>
            <w:shd w:val="clear" w:color="auto" w:fill="auto"/>
            <w:noWrap/>
            <w:vAlign w:val="center"/>
            <w:hideMark/>
          </w:tcPr>
          <w:p w14:paraId="429C61CA" w14:textId="77777777" w:rsidR="00354913" w:rsidRPr="00354913" w:rsidRDefault="00354913" w:rsidP="0096187D">
            <w:pPr>
              <w:spacing w:after="0"/>
              <w:jc w:val="right"/>
              <w:rPr>
                <w:rFonts w:ascii="Garamond" w:hAnsi="Garamond" w:cs="Arial"/>
                <w:color w:val="000000"/>
                <w:sz w:val="20"/>
                <w:szCs w:val="20"/>
              </w:rPr>
            </w:pPr>
            <w:r w:rsidRPr="00354913">
              <w:rPr>
                <w:rFonts w:ascii="Garamond" w:hAnsi="Garamond" w:cs="Arial"/>
                <w:color w:val="000000"/>
                <w:sz w:val="20"/>
                <w:szCs w:val="20"/>
              </w:rPr>
              <w:t>0,605</w:t>
            </w:r>
          </w:p>
        </w:tc>
        <w:tc>
          <w:tcPr>
            <w:tcW w:w="850" w:type="dxa"/>
            <w:tcBorders>
              <w:top w:val="nil"/>
              <w:bottom w:val="single" w:sz="4" w:space="0" w:color="auto"/>
            </w:tcBorders>
            <w:shd w:val="clear" w:color="auto" w:fill="auto"/>
            <w:noWrap/>
            <w:vAlign w:val="center"/>
            <w:hideMark/>
          </w:tcPr>
          <w:p w14:paraId="04605170" w14:textId="77777777" w:rsidR="00354913" w:rsidRPr="00354913" w:rsidRDefault="00354913" w:rsidP="0096187D">
            <w:pPr>
              <w:spacing w:after="0"/>
              <w:jc w:val="right"/>
              <w:rPr>
                <w:rFonts w:ascii="Garamond" w:hAnsi="Garamond" w:cs="Arial"/>
                <w:b/>
                <w:color w:val="000000"/>
                <w:sz w:val="20"/>
                <w:szCs w:val="20"/>
              </w:rPr>
            </w:pPr>
            <w:r w:rsidRPr="00354913">
              <w:rPr>
                <w:rFonts w:ascii="Garamond" w:hAnsi="Garamond" w:cs="Arial"/>
                <w:b/>
                <w:color w:val="000000"/>
                <w:sz w:val="20"/>
                <w:szCs w:val="20"/>
              </w:rPr>
              <w:t>0,883</w:t>
            </w:r>
          </w:p>
        </w:tc>
      </w:tr>
    </w:tbl>
    <w:p w14:paraId="0CF98F80" w14:textId="56CAAC02" w:rsidR="00354913" w:rsidRPr="00354913" w:rsidRDefault="00354913" w:rsidP="009F6351">
      <w:pPr>
        <w:autoSpaceDE w:val="0"/>
        <w:autoSpaceDN w:val="0"/>
        <w:adjustRightInd w:val="0"/>
        <w:jc w:val="both"/>
        <w:rPr>
          <w:rFonts w:ascii="Garamond" w:eastAsia="Times New Roman" w:hAnsi="Garamond"/>
          <w:sz w:val="20"/>
          <w:szCs w:val="20"/>
          <w:lang w:eastAsia="pt-BR"/>
        </w:rPr>
      </w:pPr>
      <w:r w:rsidRPr="00A800E7">
        <w:rPr>
          <w:rFonts w:ascii="Garamond" w:eastAsia="Times New Roman" w:hAnsi="Garamond"/>
          <w:b/>
          <w:bCs/>
          <w:sz w:val="20"/>
          <w:szCs w:val="20"/>
          <w:lang w:eastAsia="pt-BR"/>
        </w:rPr>
        <w:t>Fonte</w:t>
      </w:r>
      <w:r w:rsidRPr="00A800E7">
        <w:rPr>
          <w:rFonts w:ascii="Garamond" w:eastAsia="Times New Roman" w:hAnsi="Garamond"/>
          <w:sz w:val="20"/>
          <w:szCs w:val="20"/>
          <w:lang w:eastAsia="pt-BR"/>
        </w:rPr>
        <w:t>: Dados da pesquisa</w:t>
      </w:r>
    </w:p>
    <w:p w14:paraId="39A8493B" w14:textId="5D2B7DD1" w:rsidR="00DE1E6E" w:rsidRDefault="009F6351" w:rsidP="009F6351">
      <w:pPr>
        <w:autoSpaceDE w:val="0"/>
        <w:autoSpaceDN w:val="0"/>
        <w:adjustRightInd w:val="0"/>
        <w:jc w:val="both"/>
        <w:rPr>
          <w:rFonts w:ascii="Garamond" w:eastAsia="Times New Roman" w:hAnsi="Garamond"/>
          <w:lang w:eastAsia="pt-BR"/>
        </w:rPr>
      </w:pPr>
      <w:r w:rsidRPr="004F5E05">
        <w:rPr>
          <w:rFonts w:ascii="Garamond" w:eastAsia="Times New Roman" w:hAnsi="Garamond"/>
          <w:lang w:eastAsia="pt-BR"/>
        </w:rPr>
        <w:t>X</w:t>
      </w:r>
      <w:r w:rsidR="00DE1E6E" w:rsidRPr="00DE1E6E">
        <w:t xml:space="preserve"> </w:t>
      </w:r>
      <w:r w:rsidR="00DE1E6E" w:rsidRPr="00DE1E6E">
        <w:rPr>
          <w:rFonts w:ascii="Garamond" w:eastAsia="Times New Roman" w:hAnsi="Garamond"/>
          <w:lang w:eastAsia="pt-BR"/>
        </w:rPr>
        <w:t xml:space="preserve">Outra validação para confirmar a validade discriminante é a </w:t>
      </w:r>
      <w:proofErr w:type="spellStart"/>
      <w:r w:rsidR="00DE1E6E" w:rsidRPr="00DE1E6E">
        <w:rPr>
          <w:rFonts w:ascii="Garamond" w:eastAsia="Times New Roman" w:hAnsi="Garamond"/>
          <w:i/>
          <w:iCs/>
          <w:lang w:eastAsia="pt-BR"/>
        </w:rPr>
        <w:t>Heterotrait-monotrait-Ratio</w:t>
      </w:r>
      <w:proofErr w:type="spellEnd"/>
      <w:r w:rsidR="00DE1E6E" w:rsidRPr="00DE1E6E">
        <w:rPr>
          <w:rFonts w:ascii="Garamond" w:eastAsia="Times New Roman" w:hAnsi="Garamond"/>
          <w:lang w:eastAsia="pt-BR"/>
        </w:rPr>
        <w:t xml:space="preserve"> (HTMT). Neste caso, para sustentar a validade discriminante do modelo, o HTMT deve ter valor inferior a 0,85 (</w:t>
      </w:r>
      <w:proofErr w:type="spellStart"/>
      <w:r w:rsidR="00DE1E6E" w:rsidRPr="00DE1E6E">
        <w:rPr>
          <w:rFonts w:ascii="Garamond" w:eastAsia="Times New Roman" w:hAnsi="Garamond"/>
          <w:lang w:eastAsia="pt-BR"/>
        </w:rPr>
        <w:t>Henseler</w:t>
      </w:r>
      <w:proofErr w:type="spellEnd"/>
      <w:r w:rsidR="00397C1F">
        <w:rPr>
          <w:rFonts w:ascii="Garamond" w:eastAsia="Times New Roman" w:hAnsi="Garamond"/>
          <w:lang w:eastAsia="pt-BR"/>
        </w:rPr>
        <w:t xml:space="preserve"> </w:t>
      </w:r>
      <w:r w:rsidR="00397C1F" w:rsidRPr="00E02F46">
        <w:rPr>
          <w:rFonts w:ascii="Garamond" w:eastAsia="Times New Roman" w:hAnsi="Garamond"/>
          <w:lang w:eastAsia="pt-BR"/>
        </w:rPr>
        <w:t>et al.</w:t>
      </w:r>
      <w:r w:rsidR="00DE1E6E" w:rsidRPr="00DE1E6E">
        <w:rPr>
          <w:rFonts w:ascii="Garamond" w:eastAsia="Times New Roman" w:hAnsi="Garamond"/>
          <w:lang w:eastAsia="pt-BR"/>
        </w:rPr>
        <w:t>, 2015). Desta forma, pode-se verificar na tabela 4 que os valores confirmam a validade discriminante por meio do HTMT.</w:t>
      </w:r>
    </w:p>
    <w:p w14:paraId="5DED844B" w14:textId="34BAC3F9" w:rsidR="00C14845" w:rsidRPr="0089127F" w:rsidRDefault="0089127F" w:rsidP="009F6351">
      <w:pPr>
        <w:autoSpaceDE w:val="0"/>
        <w:autoSpaceDN w:val="0"/>
        <w:adjustRightInd w:val="0"/>
        <w:jc w:val="both"/>
        <w:rPr>
          <w:rFonts w:ascii="Garamond" w:eastAsia="Times New Roman" w:hAnsi="Garamond"/>
          <w:sz w:val="20"/>
          <w:szCs w:val="20"/>
          <w:lang w:eastAsia="pt-BR"/>
        </w:rPr>
      </w:pPr>
      <w:r w:rsidRPr="0089127F">
        <w:rPr>
          <w:rFonts w:ascii="Garamond" w:eastAsia="Times New Roman" w:hAnsi="Garamond"/>
          <w:b/>
          <w:bCs/>
          <w:sz w:val="20"/>
          <w:szCs w:val="20"/>
          <w:lang w:eastAsia="pt-BR"/>
        </w:rPr>
        <w:t>Tabela 4</w:t>
      </w:r>
      <w:r w:rsidRPr="0089127F">
        <w:rPr>
          <w:rFonts w:ascii="Garamond" w:eastAsia="Times New Roman" w:hAnsi="Garamond"/>
          <w:sz w:val="20"/>
          <w:szCs w:val="20"/>
          <w:lang w:eastAsia="pt-BR"/>
        </w:rPr>
        <w:t xml:space="preserve">. Validade </w:t>
      </w:r>
      <w:r w:rsidR="00E20E0D">
        <w:rPr>
          <w:rFonts w:ascii="Garamond" w:eastAsia="Times New Roman" w:hAnsi="Garamond"/>
          <w:sz w:val="20"/>
          <w:szCs w:val="20"/>
          <w:lang w:eastAsia="pt-BR"/>
        </w:rPr>
        <w:t>d</w:t>
      </w:r>
      <w:r w:rsidRPr="0089127F">
        <w:rPr>
          <w:rFonts w:ascii="Garamond" w:eastAsia="Times New Roman" w:hAnsi="Garamond"/>
          <w:sz w:val="20"/>
          <w:szCs w:val="20"/>
          <w:lang w:eastAsia="pt-BR"/>
        </w:rPr>
        <w:t xml:space="preserve">iscriminante pelo </w:t>
      </w:r>
      <w:r w:rsidR="00E20E0D">
        <w:rPr>
          <w:rFonts w:ascii="Garamond" w:eastAsia="Times New Roman" w:hAnsi="Garamond"/>
          <w:sz w:val="20"/>
          <w:szCs w:val="20"/>
          <w:lang w:eastAsia="pt-BR"/>
        </w:rPr>
        <w:t>c</w:t>
      </w:r>
      <w:r w:rsidRPr="0089127F">
        <w:rPr>
          <w:rFonts w:ascii="Garamond" w:eastAsia="Times New Roman" w:hAnsi="Garamond"/>
          <w:sz w:val="20"/>
          <w:szCs w:val="20"/>
          <w:lang w:eastAsia="pt-BR"/>
        </w:rPr>
        <w:t>ritério HTMT</w:t>
      </w:r>
    </w:p>
    <w:tbl>
      <w:tblPr>
        <w:tblW w:w="9229" w:type="dxa"/>
        <w:tblInd w:w="55" w:type="dxa"/>
        <w:tblCellMar>
          <w:left w:w="70" w:type="dxa"/>
          <w:right w:w="70" w:type="dxa"/>
        </w:tblCellMar>
        <w:tblLook w:val="04A0" w:firstRow="1" w:lastRow="0" w:firstColumn="1" w:lastColumn="0" w:noHBand="0" w:noVBand="1"/>
      </w:tblPr>
      <w:tblGrid>
        <w:gridCol w:w="3597"/>
        <w:gridCol w:w="813"/>
        <w:gridCol w:w="708"/>
        <w:gridCol w:w="851"/>
        <w:gridCol w:w="850"/>
        <w:gridCol w:w="851"/>
        <w:gridCol w:w="850"/>
        <w:gridCol w:w="709"/>
      </w:tblGrid>
      <w:tr w:rsidR="00C14845" w:rsidRPr="006A64CA" w14:paraId="1A2A45DC" w14:textId="77777777" w:rsidTr="0096187D">
        <w:trPr>
          <w:trHeight w:val="300"/>
        </w:trPr>
        <w:tc>
          <w:tcPr>
            <w:tcW w:w="0" w:type="auto"/>
            <w:tcBorders>
              <w:top w:val="single" w:sz="4" w:space="0" w:color="auto"/>
              <w:bottom w:val="single" w:sz="4" w:space="0" w:color="auto"/>
            </w:tcBorders>
            <w:shd w:val="clear" w:color="auto" w:fill="auto"/>
            <w:noWrap/>
            <w:vAlign w:val="center"/>
            <w:hideMark/>
          </w:tcPr>
          <w:p w14:paraId="39F5A120" w14:textId="77777777" w:rsidR="00C14845" w:rsidRPr="006A64CA" w:rsidRDefault="00C14845" w:rsidP="0096187D">
            <w:pPr>
              <w:spacing w:after="0"/>
              <w:rPr>
                <w:rFonts w:cs="Arial"/>
                <w:b/>
                <w:bCs/>
                <w:sz w:val="20"/>
                <w:szCs w:val="20"/>
              </w:rPr>
            </w:pPr>
            <w:r w:rsidRPr="006A64CA">
              <w:rPr>
                <w:rFonts w:cs="Arial"/>
                <w:b/>
                <w:bCs/>
                <w:sz w:val="20"/>
                <w:szCs w:val="20"/>
              </w:rPr>
              <w:t> </w:t>
            </w:r>
          </w:p>
        </w:tc>
        <w:tc>
          <w:tcPr>
            <w:tcW w:w="813" w:type="dxa"/>
            <w:tcBorders>
              <w:top w:val="single" w:sz="4" w:space="0" w:color="auto"/>
              <w:bottom w:val="single" w:sz="4" w:space="0" w:color="auto"/>
            </w:tcBorders>
            <w:shd w:val="clear" w:color="auto" w:fill="auto"/>
            <w:noWrap/>
            <w:vAlign w:val="center"/>
            <w:hideMark/>
          </w:tcPr>
          <w:p w14:paraId="1F33161A" w14:textId="77777777" w:rsidR="00C14845" w:rsidRPr="006A64CA" w:rsidRDefault="00C14845" w:rsidP="0096187D">
            <w:pPr>
              <w:spacing w:after="0"/>
              <w:rPr>
                <w:rFonts w:cs="Arial"/>
                <w:bCs/>
                <w:sz w:val="20"/>
                <w:szCs w:val="20"/>
              </w:rPr>
            </w:pPr>
            <w:r w:rsidRPr="006A64CA">
              <w:rPr>
                <w:rFonts w:cs="Arial"/>
                <w:bCs/>
                <w:sz w:val="20"/>
                <w:szCs w:val="20"/>
              </w:rPr>
              <w:t>BE</w:t>
            </w:r>
          </w:p>
        </w:tc>
        <w:tc>
          <w:tcPr>
            <w:tcW w:w="708" w:type="dxa"/>
            <w:tcBorders>
              <w:top w:val="single" w:sz="4" w:space="0" w:color="auto"/>
              <w:bottom w:val="single" w:sz="4" w:space="0" w:color="auto"/>
            </w:tcBorders>
            <w:shd w:val="clear" w:color="auto" w:fill="auto"/>
            <w:noWrap/>
            <w:vAlign w:val="center"/>
            <w:hideMark/>
          </w:tcPr>
          <w:p w14:paraId="05E3B63F" w14:textId="77777777" w:rsidR="00C14845" w:rsidRPr="006A64CA" w:rsidRDefault="00C14845" w:rsidP="0096187D">
            <w:pPr>
              <w:spacing w:after="0"/>
              <w:rPr>
                <w:rFonts w:cs="Arial"/>
                <w:bCs/>
                <w:sz w:val="20"/>
                <w:szCs w:val="20"/>
              </w:rPr>
            </w:pPr>
            <w:r w:rsidRPr="006A64CA">
              <w:rPr>
                <w:rFonts w:cs="Arial"/>
                <w:bCs/>
                <w:sz w:val="20"/>
                <w:szCs w:val="20"/>
              </w:rPr>
              <w:t>CC</w:t>
            </w:r>
          </w:p>
        </w:tc>
        <w:tc>
          <w:tcPr>
            <w:tcW w:w="851" w:type="dxa"/>
            <w:tcBorders>
              <w:top w:val="single" w:sz="4" w:space="0" w:color="auto"/>
              <w:bottom w:val="single" w:sz="4" w:space="0" w:color="auto"/>
            </w:tcBorders>
            <w:shd w:val="clear" w:color="auto" w:fill="auto"/>
            <w:noWrap/>
            <w:vAlign w:val="center"/>
            <w:hideMark/>
          </w:tcPr>
          <w:p w14:paraId="0BD3375A" w14:textId="77777777" w:rsidR="00C14845" w:rsidRPr="006A64CA" w:rsidRDefault="00C14845" w:rsidP="0096187D">
            <w:pPr>
              <w:spacing w:after="0"/>
              <w:rPr>
                <w:rFonts w:cs="Arial"/>
                <w:bCs/>
                <w:sz w:val="20"/>
                <w:szCs w:val="20"/>
              </w:rPr>
            </w:pPr>
            <w:r w:rsidRPr="006A64CA">
              <w:rPr>
                <w:rFonts w:cs="Arial"/>
                <w:bCs/>
                <w:sz w:val="20"/>
                <w:szCs w:val="20"/>
              </w:rPr>
              <w:t>PC</w:t>
            </w:r>
          </w:p>
        </w:tc>
        <w:tc>
          <w:tcPr>
            <w:tcW w:w="850" w:type="dxa"/>
            <w:tcBorders>
              <w:top w:val="single" w:sz="4" w:space="0" w:color="auto"/>
              <w:bottom w:val="single" w:sz="4" w:space="0" w:color="auto"/>
            </w:tcBorders>
            <w:shd w:val="clear" w:color="auto" w:fill="auto"/>
            <w:noWrap/>
            <w:vAlign w:val="center"/>
            <w:hideMark/>
          </w:tcPr>
          <w:p w14:paraId="40FF2E78" w14:textId="77777777" w:rsidR="00C14845" w:rsidRPr="006A64CA" w:rsidRDefault="00C14845" w:rsidP="0096187D">
            <w:pPr>
              <w:spacing w:after="0"/>
              <w:rPr>
                <w:rFonts w:cs="Arial"/>
                <w:bCs/>
                <w:sz w:val="20"/>
                <w:szCs w:val="20"/>
              </w:rPr>
            </w:pPr>
            <w:r w:rsidRPr="006A64CA">
              <w:rPr>
                <w:rFonts w:cs="Arial"/>
                <w:bCs/>
                <w:sz w:val="20"/>
                <w:szCs w:val="20"/>
              </w:rPr>
              <w:t>SAV</w:t>
            </w:r>
          </w:p>
        </w:tc>
        <w:tc>
          <w:tcPr>
            <w:tcW w:w="851" w:type="dxa"/>
            <w:tcBorders>
              <w:top w:val="single" w:sz="4" w:space="0" w:color="auto"/>
              <w:bottom w:val="single" w:sz="4" w:space="0" w:color="auto"/>
            </w:tcBorders>
            <w:shd w:val="clear" w:color="auto" w:fill="auto"/>
            <w:noWrap/>
            <w:vAlign w:val="center"/>
            <w:hideMark/>
          </w:tcPr>
          <w:p w14:paraId="18A682F8" w14:textId="77777777" w:rsidR="00C14845" w:rsidRPr="006A64CA" w:rsidRDefault="00C14845" w:rsidP="0096187D">
            <w:pPr>
              <w:spacing w:after="0"/>
              <w:rPr>
                <w:rFonts w:cs="Arial"/>
                <w:bCs/>
                <w:sz w:val="20"/>
                <w:szCs w:val="20"/>
              </w:rPr>
            </w:pPr>
            <w:r w:rsidRPr="006A64CA">
              <w:rPr>
                <w:rFonts w:cs="Arial"/>
                <w:bCs/>
                <w:sz w:val="20"/>
                <w:szCs w:val="20"/>
              </w:rPr>
              <w:t>SIV</w:t>
            </w:r>
          </w:p>
        </w:tc>
        <w:tc>
          <w:tcPr>
            <w:tcW w:w="850" w:type="dxa"/>
            <w:tcBorders>
              <w:top w:val="single" w:sz="4" w:space="0" w:color="auto"/>
              <w:bottom w:val="single" w:sz="4" w:space="0" w:color="auto"/>
            </w:tcBorders>
            <w:shd w:val="clear" w:color="auto" w:fill="auto"/>
            <w:noWrap/>
            <w:vAlign w:val="center"/>
            <w:hideMark/>
          </w:tcPr>
          <w:p w14:paraId="46FB219C" w14:textId="77777777" w:rsidR="00C14845" w:rsidRPr="006A64CA" w:rsidRDefault="00C14845" w:rsidP="0096187D">
            <w:pPr>
              <w:spacing w:after="0"/>
              <w:rPr>
                <w:rFonts w:cs="Arial"/>
                <w:bCs/>
                <w:sz w:val="20"/>
                <w:szCs w:val="20"/>
              </w:rPr>
            </w:pPr>
            <w:r w:rsidRPr="006A64CA">
              <w:rPr>
                <w:rFonts w:cs="Arial"/>
                <w:bCs/>
                <w:sz w:val="20"/>
                <w:szCs w:val="20"/>
              </w:rPr>
              <w:t>ST</w:t>
            </w:r>
          </w:p>
        </w:tc>
        <w:tc>
          <w:tcPr>
            <w:tcW w:w="709" w:type="dxa"/>
            <w:tcBorders>
              <w:top w:val="single" w:sz="4" w:space="0" w:color="auto"/>
              <w:bottom w:val="single" w:sz="4" w:space="0" w:color="auto"/>
            </w:tcBorders>
            <w:shd w:val="clear" w:color="auto" w:fill="auto"/>
            <w:noWrap/>
            <w:vAlign w:val="center"/>
            <w:hideMark/>
          </w:tcPr>
          <w:p w14:paraId="2B453C62" w14:textId="77777777" w:rsidR="00C14845" w:rsidRPr="006A64CA" w:rsidRDefault="00C14845" w:rsidP="0096187D">
            <w:pPr>
              <w:spacing w:after="0"/>
              <w:rPr>
                <w:rFonts w:cs="Arial"/>
                <w:bCs/>
                <w:sz w:val="20"/>
                <w:szCs w:val="20"/>
              </w:rPr>
            </w:pPr>
            <w:r w:rsidRPr="006A64CA">
              <w:rPr>
                <w:rFonts w:cs="Arial"/>
                <w:bCs/>
                <w:sz w:val="20"/>
                <w:szCs w:val="20"/>
              </w:rPr>
              <w:t>VC</w:t>
            </w:r>
          </w:p>
        </w:tc>
      </w:tr>
      <w:tr w:rsidR="00C14845" w:rsidRPr="006A64CA" w14:paraId="652AD955" w14:textId="77777777" w:rsidTr="0096187D">
        <w:trPr>
          <w:trHeight w:val="300"/>
        </w:trPr>
        <w:tc>
          <w:tcPr>
            <w:tcW w:w="0" w:type="auto"/>
            <w:tcBorders>
              <w:top w:val="single" w:sz="4" w:space="0" w:color="auto"/>
            </w:tcBorders>
            <w:shd w:val="clear" w:color="auto" w:fill="auto"/>
            <w:noWrap/>
            <w:vAlign w:val="center"/>
            <w:hideMark/>
          </w:tcPr>
          <w:p w14:paraId="62C6BC9F" w14:textId="77777777" w:rsidR="00C14845" w:rsidRPr="006A64CA" w:rsidRDefault="00C14845" w:rsidP="0096187D">
            <w:pPr>
              <w:spacing w:after="0"/>
              <w:rPr>
                <w:rFonts w:cs="Arial"/>
                <w:b/>
                <w:bCs/>
                <w:sz w:val="20"/>
                <w:szCs w:val="20"/>
              </w:rPr>
            </w:pPr>
            <w:r w:rsidRPr="006A64CA">
              <w:rPr>
                <w:rFonts w:cs="Arial"/>
                <w:bCs/>
                <w:sz w:val="20"/>
                <w:szCs w:val="20"/>
              </w:rPr>
              <w:t>Bem-estar Existencial (BE)</w:t>
            </w:r>
          </w:p>
        </w:tc>
        <w:tc>
          <w:tcPr>
            <w:tcW w:w="813" w:type="dxa"/>
            <w:tcBorders>
              <w:top w:val="single" w:sz="4" w:space="0" w:color="auto"/>
            </w:tcBorders>
            <w:shd w:val="clear" w:color="auto" w:fill="auto"/>
            <w:noWrap/>
            <w:vAlign w:val="center"/>
            <w:hideMark/>
          </w:tcPr>
          <w:p w14:paraId="7D3F0656" w14:textId="77777777" w:rsidR="00C14845" w:rsidRPr="006A64CA" w:rsidRDefault="00C14845" w:rsidP="0096187D">
            <w:pPr>
              <w:spacing w:after="0"/>
              <w:rPr>
                <w:rFonts w:cs="Arial"/>
                <w:b/>
                <w:bCs/>
                <w:sz w:val="20"/>
                <w:szCs w:val="20"/>
              </w:rPr>
            </w:pPr>
            <w:r w:rsidRPr="006A64CA">
              <w:rPr>
                <w:rFonts w:cs="Arial"/>
                <w:b/>
                <w:bCs/>
                <w:sz w:val="20"/>
                <w:szCs w:val="20"/>
              </w:rPr>
              <w:t> </w:t>
            </w:r>
          </w:p>
        </w:tc>
        <w:tc>
          <w:tcPr>
            <w:tcW w:w="708" w:type="dxa"/>
            <w:tcBorders>
              <w:top w:val="single" w:sz="4" w:space="0" w:color="auto"/>
            </w:tcBorders>
            <w:shd w:val="clear" w:color="auto" w:fill="auto"/>
            <w:noWrap/>
            <w:vAlign w:val="center"/>
            <w:hideMark/>
          </w:tcPr>
          <w:p w14:paraId="75E304A1" w14:textId="77777777" w:rsidR="00C14845" w:rsidRPr="006A64CA" w:rsidRDefault="00C14845" w:rsidP="0096187D">
            <w:pPr>
              <w:spacing w:after="0"/>
              <w:rPr>
                <w:rFonts w:cs="Arial"/>
                <w:b/>
                <w:bCs/>
                <w:sz w:val="20"/>
                <w:szCs w:val="20"/>
              </w:rPr>
            </w:pPr>
            <w:r w:rsidRPr="006A64CA">
              <w:rPr>
                <w:rFonts w:cs="Arial"/>
                <w:b/>
                <w:bCs/>
                <w:sz w:val="20"/>
                <w:szCs w:val="20"/>
              </w:rPr>
              <w:t> </w:t>
            </w:r>
          </w:p>
        </w:tc>
        <w:tc>
          <w:tcPr>
            <w:tcW w:w="851" w:type="dxa"/>
            <w:tcBorders>
              <w:top w:val="single" w:sz="4" w:space="0" w:color="auto"/>
            </w:tcBorders>
            <w:shd w:val="clear" w:color="auto" w:fill="auto"/>
            <w:noWrap/>
            <w:vAlign w:val="center"/>
            <w:hideMark/>
          </w:tcPr>
          <w:p w14:paraId="21358A34" w14:textId="77777777" w:rsidR="00C14845" w:rsidRPr="006A64CA" w:rsidRDefault="00C14845" w:rsidP="0096187D">
            <w:pPr>
              <w:spacing w:after="0"/>
              <w:rPr>
                <w:rFonts w:cs="Arial"/>
                <w:b/>
                <w:bCs/>
                <w:sz w:val="20"/>
                <w:szCs w:val="20"/>
              </w:rPr>
            </w:pPr>
            <w:r w:rsidRPr="006A64CA">
              <w:rPr>
                <w:rFonts w:cs="Arial"/>
                <w:b/>
                <w:bCs/>
                <w:sz w:val="20"/>
                <w:szCs w:val="20"/>
              </w:rPr>
              <w:t> </w:t>
            </w:r>
          </w:p>
        </w:tc>
        <w:tc>
          <w:tcPr>
            <w:tcW w:w="850" w:type="dxa"/>
            <w:tcBorders>
              <w:top w:val="single" w:sz="4" w:space="0" w:color="auto"/>
            </w:tcBorders>
            <w:shd w:val="clear" w:color="auto" w:fill="auto"/>
            <w:noWrap/>
            <w:vAlign w:val="center"/>
            <w:hideMark/>
          </w:tcPr>
          <w:p w14:paraId="1E03AE28" w14:textId="77777777" w:rsidR="00C14845" w:rsidRPr="006A64CA" w:rsidRDefault="00C14845" w:rsidP="0096187D">
            <w:pPr>
              <w:spacing w:after="0"/>
              <w:rPr>
                <w:rFonts w:cs="Arial"/>
                <w:b/>
                <w:bCs/>
                <w:sz w:val="20"/>
                <w:szCs w:val="20"/>
              </w:rPr>
            </w:pPr>
            <w:r w:rsidRPr="006A64CA">
              <w:rPr>
                <w:rFonts w:cs="Arial"/>
                <w:b/>
                <w:bCs/>
                <w:sz w:val="20"/>
                <w:szCs w:val="20"/>
              </w:rPr>
              <w:t> </w:t>
            </w:r>
          </w:p>
        </w:tc>
        <w:tc>
          <w:tcPr>
            <w:tcW w:w="851" w:type="dxa"/>
            <w:tcBorders>
              <w:top w:val="single" w:sz="4" w:space="0" w:color="auto"/>
            </w:tcBorders>
            <w:shd w:val="clear" w:color="auto" w:fill="auto"/>
            <w:noWrap/>
            <w:vAlign w:val="center"/>
            <w:hideMark/>
          </w:tcPr>
          <w:p w14:paraId="0E3CF007" w14:textId="77777777" w:rsidR="00C14845" w:rsidRPr="006A64CA" w:rsidRDefault="00C14845" w:rsidP="0096187D">
            <w:pPr>
              <w:spacing w:after="0"/>
              <w:rPr>
                <w:rFonts w:cs="Arial"/>
                <w:b/>
                <w:bCs/>
                <w:sz w:val="20"/>
                <w:szCs w:val="20"/>
              </w:rPr>
            </w:pPr>
            <w:r w:rsidRPr="006A64CA">
              <w:rPr>
                <w:rFonts w:cs="Arial"/>
                <w:b/>
                <w:bCs/>
                <w:sz w:val="20"/>
                <w:szCs w:val="20"/>
              </w:rPr>
              <w:t> </w:t>
            </w:r>
          </w:p>
        </w:tc>
        <w:tc>
          <w:tcPr>
            <w:tcW w:w="850" w:type="dxa"/>
            <w:tcBorders>
              <w:top w:val="single" w:sz="4" w:space="0" w:color="auto"/>
            </w:tcBorders>
            <w:shd w:val="clear" w:color="auto" w:fill="auto"/>
            <w:noWrap/>
            <w:vAlign w:val="center"/>
            <w:hideMark/>
          </w:tcPr>
          <w:p w14:paraId="52D0F88F" w14:textId="77777777" w:rsidR="00C14845" w:rsidRPr="006A64CA" w:rsidRDefault="00C14845" w:rsidP="0096187D">
            <w:pPr>
              <w:spacing w:after="0"/>
              <w:rPr>
                <w:rFonts w:cs="Arial"/>
                <w:b/>
                <w:bCs/>
                <w:sz w:val="20"/>
                <w:szCs w:val="20"/>
              </w:rPr>
            </w:pPr>
            <w:r w:rsidRPr="006A64CA">
              <w:rPr>
                <w:rFonts w:cs="Arial"/>
                <w:b/>
                <w:bCs/>
                <w:sz w:val="20"/>
                <w:szCs w:val="20"/>
              </w:rPr>
              <w:t> </w:t>
            </w:r>
          </w:p>
        </w:tc>
        <w:tc>
          <w:tcPr>
            <w:tcW w:w="709" w:type="dxa"/>
            <w:tcBorders>
              <w:top w:val="single" w:sz="4" w:space="0" w:color="auto"/>
            </w:tcBorders>
            <w:shd w:val="clear" w:color="auto" w:fill="auto"/>
            <w:noWrap/>
            <w:vAlign w:val="center"/>
            <w:hideMark/>
          </w:tcPr>
          <w:p w14:paraId="35DC72BF" w14:textId="77777777" w:rsidR="00C14845" w:rsidRPr="006A64CA" w:rsidRDefault="00C14845" w:rsidP="0096187D">
            <w:pPr>
              <w:spacing w:after="0"/>
              <w:rPr>
                <w:rFonts w:cs="Arial"/>
                <w:b/>
                <w:bCs/>
                <w:sz w:val="20"/>
                <w:szCs w:val="20"/>
              </w:rPr>
            </w:pPr>
            <w:r w:rsidRPr="006A64CA">
              <w:rPr>
                <w:rFonts w:cs="Arial"/>
                <w:b/>
                <w:bCs/>
                <w:sz w:val="20"/>
                <w:szCs w:val="20"/>
              </w:rPr>
              <w:t> </w:t>
            </w:r>
          </w:p>
        </w:tc>
      </w:tr>
      <w:tr w:rsidR="00C14845" w:rsidRPr="006A64CA" w14:paraId="651345AC" w14:textId="77777777" w:rsidTr="0096187D">
        <w:trPr>
          <w:trHeight w:val="300"/>
        </w:trPr>
        <w:tc>
          <w:tcPr>
            <w:tcW w:w="0" w:type="auto"/>
            <w:shd w:val="clear" w:color="auto" w:fill="auto"/>
            <w:noWrap/>
            <w:vAlign w:val="center"/>
            <w:hideMark/>
          </w:tcPr>
          <w:p w14:paraId="37E08AD0" w14:textId="77777777" w:rsidR="00C14845" w:rsidRPr="006A64CA" w:rsidRDefault="00C14845" w:rsidP="0096187D">
            <w:pPr>
              <w:spacing w:after="0"/>
              <w:rPr>
                <w:rFonts w:cs="Arial"/>
                <w:b/>
                <w:bCs/>
                <w:sz w:val="20"/>
                <w:szCs w:val="20"/>
              </w:rPr>
            </w:pPr>
            <w:r w:rsidRPr="006A64CA">
              <w:rPr>
                <w:rFonts w:cs="Arial"/>
                <w:bCs/>
                <w:sz w:val="20"/>
                <w:szCs w:val="20"/>
              </w:rPr>
              <w:t>Comprometimento com a carreira (CC)</w:t>
            </w:r>
          </w:p>
        </w:tc>
        <w:tc>
          <w:tcPr>
            <w:tcW w:w="813" w:type="dxa"/>
            <w:shd w:val="clear" w:color="auto" w:fill="auto"/>
            <w:noWrap/>
            <w:vAlign w:val="center"/>
            <w:hideMark/>
          </w:tcPr>
          <w:p w14:paraId="3C3A2DD9" w14:textId="77777777" w:rsidR="00C14845" w:rsidRPr="003B0959" w:rsidRDefault="00C14845" w:rsidP="0096187D">
            <w:pPr>
              <w:spacing w:after="0"/>
              <w:jc w:val="right"/>
              <w:rPr>
                <w:rFonts w:cs="Arial"/>
                <w:bCs/>
                <w:sz w:val="20"/>
                <w:szCs w:val="20"/>
              </w:rPr>
            </w:pPr>
            <w:r w:rsidRPr="003B0959">
              <w:rPr>
                <w:rFonts w:cs="Arial"/>
                <w:bCs/>
                <w:sz w:val="20"/>
                <w:szCs w:val="20"/>
              </w:rPr>
              <w:t>0,465</w:t>
            </w:r>
          </w:p>
        </w:tc>
        <w:tc>
          <w:tcPr>
            <w:tcW w:w="708" w:type="dxa"/>
            <w:shd w:val="clear" w:color="auto" w:fill="auto"/>
            <w:noWrap/>
            <w:vAlign w:val="center"/>
            <w:hideMark/>
          </w:tcPr>
          <w:p w14:paraId="1EFDA0F8"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851" w:type="dxa"/>
            <w:shd w:val="clear" w:color="auto" w:fill="auto"/>
            <w:noWrap/>
            <w:vAlign w:val="center"/>
            <w:hideMark/>
          </w:tcPr>
          <w:p w14:paraId="03151A59"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850" w:type="dxa"/>
            <w:shd w:val="clear" w:color="auto" w:fill="auto"/>
            <w:noWrap/>
            <w:vAlign w:val="center"/>
            <w:hideMark/>
          </w:tcPr>
          <w:p w14:paraId="5BA06A0C"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851" w:type="dxa"/>
            <w:shd w:val="clear" w:color="auto" w:fill="auto"/>
            <w:noWrap/>
            <w:vAlign w:val="center"/>
            <w:hideMark/>
          </w:tcPr>
          <w:p w14:paraId="34114486"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850" w:type="dxa"/>
            <w:shd w:val="clear" w:color="auto" w:fill="auto"/>
            <w:noWrap/>
            <w:vAlign w:val="center"/>
            <w:hideMark/>
          </w:tcPr>
          <w:p w14:paraId="157EA452"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709" w:type="dxa"/>
            <w:shd w:val="clear" w:color="auto" w:fill="auto"/>
            <w:noWrap/>
            <w:vAlign w:val="center"/>
            <w:hideMark/>
          </w:tcPr>
          <w:p w14:paraId="367296E3" w14:textId="77777777" w:rsidR="00C14845" w:rsidRPr="006A64CA" w:rsidRDefault="00C14845" w:rsidP="0096187D">
            <w:pPr>
              <w:spacing w:after="0"/>
              <w:rPr>
                <w:rFonts w:cs="Arial"/>
                <w:b/>
                <w:bCs/>
                <w:sz w:val="20"/>
                <w:szCs w:val="20"/>
              </w:rPr>
            </w:pPr>
            <w:r w:rsidRPr="006A64CA">
              <w:rPr>
                <w:rFonts w:cs="Arial"/>
                <w:b/>
                <w:bCs/>
                <w:sz w:val="20"/>
                <w:szCs w:val="20"/>
              </w:rPr>
              <w:t> </w:t>
            </w:r>
          </w:p>
        </w:tc>
      </w:tr>
      <w:tr w:rsidR="00C14845" w:rsidRPr="006A64CA" w14:paraId="49EF7F30" w14:textId="77777777" w:rsidTr="0096187D">
        <w:trPr>
          <w:trHeight w:val="300"/>
        </w:trPr>
        <w:tc>
          <w:tcPr>
            <w:tcW w:w="0" w:type="auto"/>
            <w:shd w:val="clear" w:color="auto" w:fill="auto"/>
            <w:noWrap/>
            <w:vAlign w:val="center"/>
            <w:hideMark/>
          </w:tcPr>
          <w:p w14:paraId="2F64D511" w14:textId="77777777" w:rsidR="00C14845" w:rsidRPr="006A64CA" w:rsidRDefault="00C14845" w:rsidP="0096187D">
            <w:pPr>
              <w:spacing w:after="0"/>
              <w:rPr>
                <w:rFonts w:cs="Arial"/>
                <w:b/>
                <w:bCs/>
                <w:sz w:val="20"/>
                <w:szCs w:val="20"/>
              </w:rPr>
            </w:pPr>
            <w:r w:rsidRPr="006A64CA">
              <w:rPr>
                <w:rFonts w:cs="Arial"/>
                <w:bCs/>
                <w:sz w:val="20"/>
                <w:szCs w:val="20"/>
              </w:rPr>
              <w:t>Perceber um chamado (PC)</w:t>
            </w:r>
          </w:p>
        </w:tc>
        <w:tc>
          <w:tcPr>
            <w:tcW w:w="813" w:type="dxa"/>
            <w:shd w:val="clear" w:color="auto" w:fill="auto"/>
            <w:noWrap/>
            <w:vAlign w:val="center"/>
            <w:hideMark/>
          </w:tcPr>
          <w:p w14:paraId="4A4EB123" w14:textId="77777777" w:rsidR="00C14845" w:rsidRPr="006A64CA" w:rsidRDefault="00C14845" w:rsidP="0096187D">
            <w:pPr>
              <w:spacing w:after="0"/>
              <w:jc w:val="right"/>
              <w:rPr>
                <w:rFonts w:cs="Arial"/>
                <w:bCs/>
                <w:sz w:val="20"/>
                <w:szCs w:val="20"/>
              </w:rPr>
            </w:pPr>
            <w:r w:rsidRPr="006A64CA">
              <w:rPr>
                <w:rFonts w:cs="Arial"/>
                <w:bCs/>
                <w:sz w:val="20"/>
                <w:szCs w:val="20"/>
              </w:rPr>
              <w:t>0,196</w:t>
            </w:r>
          </w:p>
        </w:tc>
        <w:tc>
          <w:tcPr>
            <w:tcW w:w="708" w:type="dxa"/>
            <w:shd w:val="clear" w:color="auto" w:fill="auto"/>
            <w:noWrap/>
            <w:vAlign w:val="center"/>
            <w:hideMark/>
          </w:tcPr>
          <w:p w14:paraId="47EE5BE3" w14:textId="77777777" w:rsidR="00C14845" w:rsidRPr="006A64CA" w:rsidRDefault="00C14845" w:rsidP="0096187D">
            <w:pPr>
              <w:spacing w:after="0"/>
              <w:jc w:val="right"/>
              <w:rPr>
                <w:rFonts w:cs="Arial"/>
                <w:bCs/>
                <w:sz w:val="20"/>
                <w:szCs w:val="20"/>
              </w:rPr>
            </w:pPr>
            <w:r w:rsidRPr="006A64CA">
              <w:rPr>
                <w:rFonts w:cs="Arial"/>
                <w:bCs/>
                <w:sz w:val="20"/>
                <w:szCs w:val="20"/>
              </w:rPr>
              <w:t>0,459</w:t>
            </w:r>
          </w:p>
        </w:tc>
        <w:tc>
          <w:tcPr>
            <w:tcW w:w="851" w:type="dxa"/>
            <w:shd w:val="clear" w:color="auto" w:fill="auto"/>
            <w:noWrap/>
            <w:vAlign w:val="center"/>
            <w:hideMark/>
          </w:tcPr>
          <w:p w14:paraId="1E47FAF1"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850" w:type="dxa"/>
            <w:shd w:val="clear" w:color="auto" w:fill="auto"/>
            <w:noWrap/>
            <w:vAlign w:val="center"/>
            <w:hideMark/>
          </w:tcPr>
          <w:p w14:paraId="4A72C378"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851" w:type="dxa"/>
            <w:shd w:val="clear" w:color="auto" w:fill="auto"/>
            <w:noWrap/>
            <w:vAlign w:val="center"/>
            <w:hideMark/>
          </w:tcPr>
          <w:p w14:paraId="2FC1BD38"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850" w:type="dxa"/>
            <w:shd w:val="clear" w:color="auto" w:fill="auto"/>
            <w:noWrap/>
            <w:vAlign w:val="center"/>
            <w:hideMark/>
          </w:tcPr>
          <w:p w14:paraId="3684D307"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709" w:type="dxa"/>
            <w:shd w:val="clear" w:color="auto" w:fill="auto"/>
            <w:noWrap/>
            <w:vAlign w:val="center"/>
            <w:hideMark/>
          </w:tcPr>
          <w:p w14:paraId="20A08A89" w14:textId="77777777" w:rsidR="00C14845" w:rsidRPr="006A64CA" w:rsidRDefault="00C14845" w:rsidP="0096187D">
            <w:pPr>
              <w:spacing w:after="0"/>
              <w:rPr>
                <w:rFonts w:cs="Arial"/>
                <w:b/>
                <w:bCs/>
                <w:sz w:val="20"/>
                <w:szCs w:val="20"/>
              </w:rPr>
            </w:pPr>
            <w:r w:rsidRPr="006A64CA">
              <w:rPr>
                <w:rFonts w:cs="Arial"/>
                <w:b/>
                <w:bCs/>
                <w:sz w:val="20"/>
                <w:szCs w:val="20"/>
              </w:rPr>
              <w:t> </w:t>
            </w:r>
          </w:p>
        </w:tc>
      </w:tr>
      <w:tr w:rsidR="00C14845" w:rsidRPr="006A64CA" w14:paraId="534217CC" w14:textId="77777777" w:rsidTr="0096187D">
        <w:trPr>
          <w:trHeight w:val="300"/>
        </w:trPr>
        <w:tc>
          <w:tcPr>
            <w:tcW w:w="0" w:type="auto"/>
            <w:shd w:val="clear" w:color="auto" w:fill="auto"/>
            <w:noWrap/>
            <w:vAlign w:val="center"/>
            <w:hideMark/>
          </w:tcPr>
          <w:p w14:paraId="03EF30FA" w14:textId="77777777" w:rsidR="00C14845" w:rsidRPr="006A64CA" w:rsidRDefault="00C14845" w:rsidP="0096187D">
            <w:pPr>
              <w:spacing w:after="0"/>
              <w:rPr>
                <w:rFonts w:cs="Arial"/>
                <w:b/>
                <w:bCs/>
                <w:sz w:val="20"/>
                <w:szCs w:val="20"/>
              </w:rPr>
            </w:pPr>
            <w:r w:rsidRPr="006A64CA">
              <w:rPr>
                <w:rFonts w:cs="Arial"/>
                <w:bCs/>
                <w:sz w:val="20"/>
                <w:szCs w:val="20"/>
              </w:rPr>
              <w:t>Satisfação com a vida (SAV)</w:t>
            </w:r>
          </w:p>
        </w:tc>
        <w:tc>
          <w:tcPr>
            <w:tcW w:w="813" w:type="dxa"/>
            <w:shd w:val="clear" w:color="auto" w:fill="auto"/>
            <w:noWrap/>
            <w:vAlign w:val="center"/>
            <w:hideMark/>
          </w:tcPr>
          <w:p w14:paraId="0A36A6D0" w14:textId="77777777" w:rsidR="00C14845" w:rsidRPr="006A64CA" w:rsidRDefault="00C14845" w:rsidP="0096187D">
            <w:pPr>
              <w:spacing w:after="0"/>
              <w:jc w:val="right"/>
              <w:rPr>
                <w:rFonts w:cs="Arial"/>
                <w:bCs/>
                <w:sz w:val="20"/>
                <w:szCs w:val="20"/>
              </w:rPr>
            </w:pPr>
            <w:r w:rsidRPr="006A64CA">
              <w:rPr>
                <w:rFonts w:cs="Arial"/>
                <w:bCs/>
                <w:sz w:val="20"/>
                <w:szCs w:val="20"/>
              </w:rPr>
              <w:t>0,562</w:t>
            </w:r>
          </w:p>
        </w:tc>
        <w:tc>
          <w:tcPr>
            <w:tcW w:w="708" w:type="dxa"/>
            <w:shd w:val="clear" w:color="auto" w:fill="auto"/>
            <w:noWrap/>
            <w:vAlign w:val="center"/>
            <w:hideMark/>
          </w:tcPr>
          <w:p w14:paraId="6DAA31AE" w14:textId="77777777" w:rsidR="00C14845" w:rsidRPr="006A64CA" w:rsidRDefault="00C14845" w:rsidP="0096187D">
            <w:pPr>
              <w:spacing w:after="0"/>
              <w:jc w:val="right"/>
              <w:rPr>
                <w:rFonts w:cs="Arial"/>
                <w:bCs/>
                <w:sz w:val="20"/>
                <w:szCs w:val="20"/>
              </w:rPr>
            </w:pPr>
            <w:r w:rsidRPr="006A64CA">
              <w:rPr>
                <w:rFonts w:cs="Arial"/>
                <w:bCs/>
                <w:sz w:val="20"/>
                <w:szCs w:val="20"/>
              </w:rPr>
              <w:t>0,569</w:t>
            </w:r>
          </w:p>
        </w:tc>
        <w:tc>
          <w:tcPr>
            <w:tcW w:w="851" w:type="dxa"/>
            <w:shd w:val="clear" w:color="auto" w:fill="auto"/>
            <w:noWrap/>
            <w:vAlign w:val="center"/>
            <w:hideMark/>
          </w:tcPr>
          <w:p w14:paraId="3540E24A" w14:textId="77777777" w:rsidR="00C14845" w:rsidRPr="006A64CA" w:rsidRDefault="00C14845" w:rsidP="0096187D">
            <w:pPr>
              <w:spacing w:after="0"/>
              <w:jc w:val="right"/>
              <w:rPr>
                <w:rFonts w:cs="Arial"/>
                <w:bCs/>
                <w:sz w:val="20"/>
                <w:szCs w:val="20"/>
              </w:rPr>
            </w:pPr>
            <w:r w:rsidRPr="006A64CA">
              <w:rPr>
                <w:rFonts w:cs="Arial"/>
                <w:bCs/>
                <w:sz w:val="20"/>
                <w:szCs w:val="20"/>
              </w:rPr>
              <w:t>0,368</w:t>
            </w:r>
          </w:p>
        </w:tc>
        <w:tc>
          <w:tcPr>
            <w:tcW w:w="850" w:type="dxa"/>
            <w:shd w:val="clear" w:color="auto" w:fill="auto"/>
            <w:noWrap/>
            <w:vAlign w:val="center"/>
            <w:hideMark/>
          </w:tcPr>
          <w:p w14:paraId="1535F0F3"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851" w:type="dxa"/>
            <w:shd w:val="clear" w:color="auto" w:fill="auto"/>
            <w:noWrap/>
            <w:vAlign w:val="center"/>
            <w:hideMark/>
          </w:tcPr>
          <w:p w14:paraId="5169595E"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850" w:type="dxa"/>
            <w:shd w:val="clear" w:color="auto" w:fill="auto"/>
            <w:noWrap/>
            <w:vAlign w:val="center"/>
            <w:hideMark/>
          </w:tcPr>
          <w:p w14:paraId="519642BD"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709" w:type="dxa"/>
            <w:shd w:val="clear" w:color="auto" w:fill="auto"/>
            <w:noWrap/>
            <w:vAlign w:val="center"/>
            <w:hideMark/>
          </w:tcPr>
          <w:p w14:paraId="0C8B3377" w14:textId="77777777" w:rsidR="00C14845" w:rsidRPr="006A64CA" w:rsidRDefault="00C14845" w:rsidP="0096187D">
            <w:pPr>
              <w:spacing w:after="0"/>
              <w:rPr>
                <w:rFonts w:cs="Arial"/>
                <w:b/>
                <w:bCs/>
                <w:sz w:val="20"/>
                <w:szCs w:val="20"/>
              </w:rPr>
            </w:pPr>
            <w:r w:rsidRPr="006A64CA">
              <w:rPr>
                <w:rFonts w:cs="Arial"/>
                <w:b/>
                <w:bCs/>
                <w:sz w:val="20"/>
                <w:szCs w:val="20"/>
              </w:rPr>
              <w:t> </w:t>
            </w:r>
          </w:p>
        </w:tc>
      </w:tr>
      <w:tr w:rsidR="00C14845" w:rsidRPr="006A64CA" w14:paraId="70F4BB65" w14:textId="77777777" w:rsidTr="0096187D">
        <w:trPr>
          <w:trHeight w:val="300"/>
        </w:trPr>
        <w:tc>
          <w:tcPr>
            <w:tcW w:w="0" w:type="auto"/>
            <w:shd w:val="clear" w:color="auto" w:fill="auto"/>
            <w:noWrap/>
            <w:vAlign w:val="center"/>
            <w:hideMark/>
          </w:tcPr>
          <w:p w14:paraId="2997D676" w14:textId="77777777" w:rsidR="00C14845" w:rsidRPr="006A64CA" w:rsidRDefault="00C14845" w:rsidP="0096187D">
            <w:pPr>
              <w:spacing w:after="0"/>
              <w:rPr>
                <w:rFonts w:cs="Arial"/>
                <w:b/>
                <w:bCs/>
                <w:sz w:val="20"/>
                <w:szCs w:val="20"/>
              </w:rPr>
            </w:pPr>
            <w:r w:rsidRPr="006A64CA">
              <w:rPr>
                <w:rFonts w:cs="Arial"/>
                <w:bCs/>
                <w:sz w:val="20"/>
                <w:szCs w:val="20"/>
              </w:rPr>
              <w:t>Significado da vida (SIV)</w:t>
            </w:r>
          </w:p>
        </w:tc>
        <w:tc>
          <w:tcPr>
            <w:tcW w:w="813" w:type="dxa"/>
            <w:shd w:val="clear" w:color="auto" w:fill="auto"/>
            <w:noWrap/>
            <w:vAlign w:val="center"/>
            <w:hideMark/>
          </w:tcPr>
          <w:p w14:paraId="410B2F2E" w14:textId="77777777" w:rsidR="00C14845" w:rsidRPr="006A64CA" w:rsidRDefault="00C14845" w:rsidP="0096187D">
            <w:pPr>
              <w:spacing w:after="0"/>
              <w:jc w:val="right"/>
              <w:rPr>
                <w:rFonts w:cs="Arial"/>
                <w:bCs/>
                <w:sz w:val="20"/>
                <w:szCs w:val="20"/>
              </w:rPr>
            </w:pPr>
            <w:r w:rsidRPr="006A64CA">
              <w:rPr>
                <w:rFonts w:cs="Arial"/>
                <w:bCs/>
                <w:sz w:val="20"/>
                <w:szCs w:val="20"/>
              </w:rPr>
              <w:t>0,461</w:t>
            </w:r>
          </w:p>
        </w:tc>
        <w:tc>
          <w:tcPr>
            <w:tcW w:w="708" w:type="dxa"/>
            <w:shd w:val="clear" w:color="auto" w:fill="auto"/>
            <w:noWrap/>
            <w:vAlign w:val="center"/>
            <w:hideMark/>
          </w:tcPr>
          <w:p w14:paraId="651DC808" w14:textId="77777777" w:rsidR="00C14845" w:rsidRPr="006A64CA" w:rsidRDefault="00C14845" w:rsidP="0096187D">
            <w:pPr>
              <w:spacing w:after="0"/>
              <w:jc w:val="right"/>
              <w:rPr>
                <w:rFonts w:cs="Arial"/>
                <w:bCs/>
                <w:sz w:val="20"/>
                <w:szCs w:val="20"/>
              </w:rPr>
            </w:pPr>
            <w:r w:rsidRPr="006A64CA">
              <w:rPr>
                <w:rFonts w:cs="Arial"/>
                <w:bCs/>
                <w:sz w:val="20"/>
                <w:szCs w:val="20"/>
              </w:rPr>
              <w:t>0,477</w:t>
            </w:r>
          </w:p>
        </w:tc>
        <w:tc>
          <w:tcPr>
            <w:tcW w:w="851" w:type="dxa"/>
            <w:shd w:val="clear" w:color="auto" w:fill="auto"/>
            <w:noWrap/>
            <w:vAlign w:val="center"/>
            <w:hideMark/>
          </w:tcPr>
          <w:p w14:paraId="428FD052" w14:textId="77777777" w:rsidR="00C14845" w:rsidRPr="006A64CA" w:rsidRDefault="00C14845" w:rsidP="0096187D">
            <w:pPr>
              <w:spacing w:after="0"/>
              <w:jc w:val="right"/>
              <w:rPr>
                <w:rFonts w:cs="Arial"/>
                <w:bCs/>
                <w:sz w:val="20"/>
                <w:szCs w:val="20"/>
              </w:rPr>
            </w:pPr>
            <w:r w:rsidRPr="006A64CA">
              <w:rPr>
                <w:rFonts w:cs="Arial"/>
                <w:bCs/>
                <w:sz w:val="20"/>
                <w:szCs w:val="20"/>
              </w:rPr>
              <w:t>0,542</w:t>
            </w:r>
          </w:p>
        </w:tc>
        <w:tc>
          <w:tcPr>
            <w:tcW w:w="850" w:type="dxa"/>
            <w:shd w:val="clear" w:color="auto" w:fill="auto"/>
            <w:noWrap/>
            <w:vAlign w:val="center"/>
            <w:hideMark/>
          </w:tcPr>
          <w:p w14:paraId="2237A578" w14:textId="77777777" w:rsidR="00C14845" w:rsidRPr="006A64CA" w:rsidRDefault="00C14845" w:rsidP="0096187D">
            <w:pPr>
              <w:spacing w:after="0"/>
              <w:jc w:val="right"/>
              <w:rPr>
                <w:rFonts w:cs="Arial"/>
                <w:bCs/>
                <w:sz w:val="20"/>
                <w:szCs w:val="20"/>
              </w:rPr>
            </w:pPr>
            <w:r w:rsidRPr="006A64CA">
              <w:rPr>
                <w:rFonts w:cs="Arial"/>
                <w:bCs/>
                <w:sz w:val="20"/>
                <w:szCs w:val="20"/>
              </w:rPr>
              <w:t>0,596</w:t>
            </w:r>
          </w:p>
        </w:tc>
        <w:tc>
          <w:tcPr>
            <w:tcW w:w="851" w:type="dxa"/>
            <w:shd w:val="clear" w:color="auto" w:fill="auto"/>
            <w:noWrap/>
            <w:vAlign w:val="center"/>
            <w:hideMark/>
          </w:tcPr>
          <w:p w14:paraId="4BD3B19A"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850" w:type="dxa"/>
            <w:shd w:val="clear" w:color="auto" w:fill="auto"/>
            <w:noWrap/>
            <w:vAlign w:val="center"/>
            <w:hideMark/>
          </w:tcPr>
          <w:p w14:paraId="135145F4"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709" w:type="dxa"/>
            <w:shd w:val="clear" w:color="auto" w:fill="auto"/>
            <w:noWrap/>
            <w:vAlign w:val="center"/>
            <w:hideMark/>
          </w:tcPr>
          <w:p w14:paraId="2FF54F6C" w14:textId="77777777" w:rsidR="00C14845" w:rsidRPr="006A64CA" w:rsidRDefault="00C14845" w:rsidP="0096187D">
            <w:pPr>
              <w:spacing w:after="0"/>
              <w:rPr>
                <w:rFonts w:cs="Arial"/>
                <w:b/>
                <w:bCs/>
                <w:sz w:val="20"/>
                <w:szCs w:val="20"/>
              </w:rPr>
            </w:pPr>
            <w:r w:rsidRPr="006A64CA">
              <w:rPr>
                <w:rFonts w:cs="Arial"/>
                <w:b/>
                <w:bCs/>
                <w:sz w:val="20"/>
                <w:szCs w:val="20"/>
              </w:rPr>
              <w:t> </w:t>
            </w:r>
          </w:p>
        </w:tc>
      </w:tr>
      <w:tr w:rsidR="00C14845" w:rsidRPr="006A64CA" w14:paraId="06C4AEC1" w14:textId="77777777" w:rsidTr="0096187D">
        <w:trPr>
          <w:trHeight w:val="300"/>
        </w:trPr>
        <w:tc>
          <w:tcPr>
            <w:tcW w:w="0" w:type="auto"/>
            <w:shd w:val="clear" w:color="auto" w:fill="auto"/>
            <w:noWrap/>
            <w:vAlign w:val="center"/>
            <w:hideMark/>
          </w:tcPr>
          <w:p w14:paraId="77C617BC" w14:textId="77777777" w:rsidR="00C14845" w:rsidRPr="006A64CA" w:rsidRDefault="00C14845" w:rsidP="0096187D">
            <w:pPr>
              <w:spacing w:after="0"/>
              <w:rPr>
                <w:rFonts w:cs="Arial"/>
                <w:b/>
                <w:bCs/>
                <w:sz w:val="20"/>
                <w:szCs w:val="20"/>
              </w:rPr>
            </w:pPr>
            <w:r w:rsidRPr="006A64CA">
              <w:rPr>
                <w:rFonts w:cs="Arial"/>
                <w:bCs/>
                <w:sz w:val="20"/>
                <w:szCs w:val="20"/>
              </w:rPr>
              <w:t>Satisfação no trabalho (ST)</w:t>
            </w:r>
          </w:p>
        </w:tc>
        <w:tc>
          <w:tcPr>
            <w:tcW w:w="813" w:type="dxa"/>
            <w:shd w:val="clear" w:color="auto" w:fill="auto"/>
            <w:noWrap/>
            <w:vAlign w:val="center"/>
            <w:hideMark/>
          </w:tcPr>
          <w:p w14:paraId="058985DB" w14:textId="77777777" w:rsidR="00C14845" w:rsidRPr="006A64CA" w:rsidRDefault="00C14845" w:rsidP="0096187D">
            <w:pPr>
              <w:spacing w:after="0"/>
              <w:jc w:val="right"/>
              <w:rPr>
                <w:rFonts w:cs="Arial"/>
                <w:bCs/>
                <w:sz w:val="20"/>
                <w:szCs w:val="20"/>
              </w:rPr>
            </w:pPr>
            <w:r w:rsidRPr="006A64CA">
              <w:rPr>
                <w:rFonts w:cs="Arial"/>
                <w:bCs/>
                <w:sz w:val="20"/>
                <w:szCs w:val="20"/>
              </w:rPr>
              <w:t>0,585</w:t>
            </w:r>
          </w:p>
        </w:tc>
        <w:tc>
          <w:tcPr>
            <w:tcW w:w="708" w:type="dxa"/>
            <w:shd w:val="clear" w:color="auto" w:fill="auto"/>
            <w:noWrap/>
            <w:vAlign w:val="center"/>
            <w:hideMark/>
          </w:tcPr>
          <w:p w14:paraId="07E0CE18" w14:textId="77777777" w:rsidR="00C14845" w:rsidRPr="006A64CA" w:rsidRDefault="00C14845" w:rsidP="0096187D">
            <w:pPr>
              <w:spacing w:after="0"/>
              <w:jc w:val="right"/>
              <w:rPr>
                <w:rFonts w:cs="Arial"/>
                <w:bCs/>
                <w:sz w:val="20"/>
                <w:szCs w:val="20"/>
              </w:rPr>
            </w:pPr>
            <w:r w:rsidRPr="006A64CA">
              <w:rPr>
                <w:rFonts w:cs="Arial"/>
                <w:bCs/>
                <w:sz w:val="20"/>
                <w:szCs w:val="20"/>
              </w:rPr>
              <w:t>0,825</w:t>
            </w:r>
          </w:p>
        </w:tc>
        <w:tc>
          <w:tcPr>
            <w:tcW w:w="851" w:type="dxa"/>
            <w:shd w:val="clear" w:color="auto" w:fill="auto"/>
            <w:noWrap/>
            <w:vAlign w:val="center"/>
            <w:hideMark/>
          </w:tcPr>
          <w:p w14:paraId="564F36A6" w14:textId="77777777" w:rsidR="00C14845" w:rsidRPr="006A64CA" w:rsidRDefault="00C14845" w:rsidP="0096187D">
            <w:pPr>
              <w:spacing w:after="0"/>
              <w:jc w:val="right"/>
              <w:rPr>
                <w:rFonts w:cs="Arial"/>
                <w:bCs/>
                <w:sz w:val="20"/>
                <w:szCs w:val="20"/>
              </w:rPr>
            </w:pPr>
            <w:r w:rsidRPr="006A64CA">
              <w:rPr>
                <w:rFonts w:cs="Arial"/>
                <w:bCs/>
                <w:sz w:val="20"/>
                <w:szCs w:val="20"/>
              </w:rPr>
              <w:t>0,358</w:t>
            </w:r>
          </w:p>
        </w:tc>
        <w:tc>
          <w:tcPr>
            <w:tcW w:w="850" w:type="dxa"/>
            <w:shd w:val="clear" w:color="auto" w:fill="auto"/>
            <w:noWrap/>
            <w:vAlign w:val="center"/>
            <w:hideMark/>
          </w:tcPr>
          <w:p w14:paraId="37F06688" w14:textId="77777777" w:rsidR="00C14845" w:rsidRPr="006A64CA" w:rsidRDefault="00C14845" w:rsidP="0096187D">
            <w:pPr>
              <w:spacing w:after="0"/>
              <w:jc w:val="right"/>
              <w:rPr>
                <w:rFonts w:cs="Arial"/>
                <w:bCs/>
                <w:sz w:val="20"/>
                <w:szCs w:val="20"/>
              </w:rPr>
            </w:pPr>
            <w:r w:rsidRPr="006A64CA">
              <w:rPr>
                <w:rFonts w:cs="Arial"/>
                <w:bCs/>
                <w:sz w:val="20"/>
                <w:szCs w:val="20"/>
              </w:rPr>
              <w:t>0,794</w:t>
            </w:r>
          </w:p>
        </w:tc>
        <w:tc>
          <w:tcPr>
            <w:tcW w:w="851" w:type="dxa"/>
            <w:shd w:val="clear" w:color="auto" w:fill="auto"/>
            <w:noWrap/>
            <w:vAlign w:val="center"/>
            <w:hideMark/>
          </w:tcPr>
          <w:p w14:paraId="1C9A3C49" w14:textId="77777777" w:rsidR="00C14845" w:rsidRPr="006A64CA" w:rsidRDefault="00C14845" w:rsidP="0096187D">
            <w:pPr>
              <w:spacing w:after="0"/>
              <w:jc w:val="right"/>
              <w:rPr>
                <w:rFonts w:cs="Arial"/>
                <w:bCs/>
                <w:sz w:val="20"/>
                <w:szCs w:val="20"/>
              </w:rPr>
            </w:pPr>
            <w:r w:rsidRPr="006A64CA">
              <w:rPr>
                <w:rFonts w:cs="Arial"/>
                <w:bCs/>
                <w:sz w:val="20"/>
                <w:szCs w:val="20"/>
              </w:rPr>
              <w:t>0,452</w:t>
            </w:r>
          </w:p>
        </w:tc>
        <w:tc>
          <w:tcPr>
            <w:tcW w:w="850" w:type="dxa"/>
            <w:shd w:val="clear" w:color="auto" w:fill="auto"/>
            <w:noWrap/>
            <w:vAlign w:val="center"/>
            <w:hideMark/>
          </w:tcPr>
          <w:p w14:paraId="64077DEE" w14:textId="77777777" w:rsidR="00C14845" w:rsidRPr="006A64CA" w:rsidRDefault="00C14845" w:rsidP="0096187D">
            <w:pPr>
              <w:spacing w:after="0"/>
              <w:rPr>
                <w:rFonts w:cs="Arial"/>
                <w:bCs/>
                <w:sz w:val="20"/>
                <w:szCs w:val="20"/>
              </w:rPr>
            </w:pPr>
            <w:r w:rsidRPr="006A64CA">
              <w:rPr>
                <w:rFonts w:cs="Arial"/>
                <w:bCs/>
                <w:sz w:val="20"/>
                <w:szCs w:val="20"/>
              </w:rPr>
              <w:t> </w:t>
            </w:r>
          </w:p>
        </w:tc>
        <w:tc>
          <w:tcPr>
            <w:tcW w:w="709" w:type="dxa"/>
            <w:shd w:val="clear" w:color="auto" w:fill="auto"/>
            <w:noWrap/>
            <w:vAlign w:val="center"/>
            <w:hideMark/>
          </w:tcPr>
          <w:p w14:paraId="0E770342" w14:textId="77777777" w:rsidR="00C14845" w:rsidRPr="006A64CA" w:rsidRDefault="00C14845" w:rsidP="0096187D">
            <w:pPr>
              <w:spacing w:after="0"/>
              <w:rPr>
                <w:rFonts w:cs="Arial"/>
                <w:b/>
                <w:bCs/>
                <w:sz w:val="20"/>
                <w:szCs w:val="20"/>
              </w:rPr>
            </w:pPr>
            <w:r w:rsidRPr="006A64CA">
              <w:rPr>
                <w:rFonts w:cs="Arial"/>
                <w:b/>
                <w:bCs/>
                <w:sz w:val="20"/>
                <w:szCs w:val="20"/>
              </w:rPr>
              <w:t> </w:t>
            </w:r>
          </w:p>
        </w:tc>
      </w:tr>
      <w:tr w:rsidR="00C14845" w:rsidRPr="006A64CA" w14:paraId="73484CAC" w14:textId="77777777" w:rsidTr="0096187D">
        <w:trPr>
          <w:trHeight w:val="300"/>
        </w:trPr>
        <w:tc>
          <w:tcPr>
            <w:tcW w:w="0" w:type="auto"/>
            <w:tcBorders>
              <w:bottom w:val="single" w:sz="4" w:space="0" w:color="auto"/>
            </w:tcBorders>
            <w:shd w:val="clear" w:color="auto" w:fill="auto"/>
            <w:noWrap/>
            <w:vAlign w:val="center"/>
            <w:hideMark/>
          </w:tcPr>
          <w:p w14:paraId="4270E94C" w14:textId="77777777" w:rsidR="00C14845" w:rsidRPr="006A64CA" w:rsidRDefault="00C14845" w:rsidP="0096187D">
            <w:pPr>
              <w:spacing w:after="0"/>
              <w:rPr>
                <w:rFonts w:cs="Arial"/>
                <w:b/>
                <w:bCs/>
                <w:sz w:val="20"/>
                <w:szCs w:val="20"/>
              </w:rPr>
            </w:pPr>
            <w:r w:rsidRPr="006A64CA">
              <w:rPr>
                <w:rFonts w:cs="Arial"/>
                <w:bCs/>
                <w:sz w:val="20"/>
                <w:szCs w:val="20"/>
              </w:rPr>
              <w:t>Viver um chamado (VC)</w:t>
            </w:r>
          </w:p>
        </w:tc>
        <w:tc>
          <w:tcPr>
            <w:tcW w:w="813" w:type="dxa"/>
            <w:tcBorders>
              <w:bottom w:val="single" w:sz="4" w:space="0" w:color="auto"/>
            </w:tcBorders>
            <w:shd w:val="clear" w:color="auto" w:fill="auto"/>
            <w:noWrap/>
            <w:vAlign w:val="center"/>
            <w:hideMark/>
          </w:tcPr>
          <w:p w14:paraId="00B2D185" w14:textId="77777777" w:rsidR="00C14845" w:rsidRPr="006A64CA" w:rsidRDefault="00C14845" w:rsidP="0096187D">
            <w:pPr>
              <w:spacing w:after="0"/>
              <w:jc w:val="right"/>
              <w:rPr>
                <w:rFonts w:cs="Arial"/>
                <w:bCs/>
                <w:sz w:val="20"/>
                <w:szCs w:val="20"/>
              </w:rPr>
            </w:pPr>
            <w:r w:rsidRPr="006A64CA">
              <w:rPr>
                <w:rFonts w:cs="Arial"/>
                <w:bCs/>
                <w:sz w:val="20"/>
                <w:szCs w:val="20"/>
              </w:rPr>
              <w:t>0,290</w:t>
            </w:r>
          </w:p>
        </w:tc>
        <w:tc>
          <w:tcPr>
            <w:tcW w:w="708" w:type="dxa"/>
            <w:tcBorders>
              <w:bottom w:val="single" w:sz="4" w:space="0" w:color="auto"/>
            </w:tcBorders>
            <w:shd w:val="clear" w:color="auto" w:fill="auto"/>
            <w:noWrap/>
            <w:vAlign w:val="center"/>
            <w:hideMark/>
          </w:tcPr>
          <w:p w14:paraId="671C84AD" w14:textId="77777777" w:rsidR="00C14845" w:rsidRPr="006A64CA" w:rsidRDefault="00C14845" w:rsidP="0096187D">
            <w:pPr>
              <w:spacing w:after="0"/>
              <w:jc w:val="right"/>
              <w:rPr>
                <w:rFonts w:cs="Arial"/>
                <w:bCs/>
                <w:sz w:val="20"/>
                <w:szCs w:val="20"/>
              </w:rPr>
            </w:pPr>
            <w:r w:rsidRPr="006A64CA">
              <w:rPr>
                <w:rFonts w:cs="Arial"/>
                <w:bCs/>
                <w:sz w:val="20"/>
                <w:szCs w:val="20"/>
              </w:rPr>
              <w:t>0,728</w:t>
            </w:r>
          </w:p>
        </w:tc>
        <w:tc>
          <w:tcPr>
            <w:tcW w:w="851" w:type="dxa"/>
            <w:tcBorders>
              <w:bottom w:val="single" w:sz="4" w:space="0" w:color="auto"/>
            </w:tcBorders>
            <w:shd w:val="clear" w:color="auto" w:fill="auto"/>
            <w:noWrap/>
            <w:vAlign w:val="center"/>
            <w:hideMark/>
          </w:tcPr>
          <w:p w14:paraId="4C1AC4E1" w14:textId="77777777" w:rsidR="00C14845" w:rsidRPr="006A64CA" w:rsidRDefault="00C14845" w:rsidP="0096187D">
            <w:pPr>
              <w:spacing w:after="0"/>
              <w:jc w:val="right"/>
              <w:rPr>
                <w:rFonts w:cs="Arial"/>
                <w:bCs/>
                <w:sz w:val="20"/>
                <w:szCs w:val="20"/>
              </w:rPr>
            </w:pPr>
            <w:r w:rsidRPr="006A64CA">
              <w:rPr>
                <w:rFonts w:cs="Arial"/>
                <w:bCs/>
                <w:sz w:val="20"/>
                <w:szCs w:val="20"/>
              </w:rPr>
              <w:t>0,761</w:t>
            </w:r>
          </w:p>
        </w:tc>
        <w:tc>
          <w:tcPr>
            <w:tcW w:w="850" w:type="dxa"/>
            <w:tcBorders>
              <w:bottom w:val="single" w:sz="4" w:space="0" w:color="auto"/>
            </w:tcBorders>
            <w:shd w:val="clear" w:color="auto" w:fill="auto"/>
            <w:noWrap/>
            <w:vAlign w:val="center"/>
            <w:hideMark/>
          </w:tcPr>
          <w:p w14:paraId="39FFBD7C" w14:textId="77777777" w:rsidR="00C14845" w:rsidRPr="006A64CA" w:rsidRDefault="00C14845" w:rsidP="0096187D">
            <w:pPr>
              <w:spacing w:after="0"/>
              <w:jc w:val="right"/>
              <w:rPr>
                <w:rFonts w:cs="Arial"/>
                <w:bCs/>
                <w:sz w:val="20"/>
                <w:szCs w:val="20"/>
              </w:rPr>
            </w:pPr>
            <w:r w:rsidRPr="006A64CA">
              <w:rPr>
                <w:rFonts w:cs="Arial"/>
                <w:bCs/>
                <w:sz w:val="20"/>
                <w:szCs w:val="20"/>
              </w:rPr>
              <w:t>0,511</w:t>
            </w:r>
          </w:p>
        </w:tc>
        <w:tc>
          <w:tcPr>
            <w:tcW w:w="851" w:type="dxa"/>
            <w:tcBorders>
              <w:bottom w:val="single" w:sz="4" w:space="0" w:color="auto"/>
            </w:tcBorders>
            <w:shd w:val="clear" w:color="auto" w:fill="auto"/>
            <w:noWrap/>
            <w:vAlign w:val="center"/>
            <w:hideMark/>
          </w:tcPr>
          <w:p w14:paraId="23151E68" w14:textId="77777777" w:rsidR="00C14845" w:rsidRPr="006A64CA" w:rsidRDefault="00C14845" w:rsidP="0096187D">
            <w:pPr>
              <w:spacing w:after="0"/>
              <w:jc w:val="right"/>
              <w:rPr>
                <w:rFonts w:cs="Arial"/>
                <w:bCs/>
                <w:sz w:val="20"/>
                <w:szCs w:val="20"/>
              </w:rPr>
            </w:pPr>
            <w:r w:rsidRPr="006A64CA">
              <w:rPr>
                <w:rFonts w:cs="Arial"/>
                <w:bCs/>
                <w:sz w:val="20"/>
                <w:szCs w:val="20"/>
              </w:rPr>
              <w:t>0,535</w:t>
            </w:r>
          </w:p>
        </w:tc>
        <w:tc>
          <w:tcPr>
            <w:tcW w:w="850" w:type="dxa"/>
            <w:tcBorders>
              <w:bottom w:val="single" w:sz="4" w:space="0" w:color="auto"/>
            </w:tcBorders>
            <w:shd w:val="clear" w:color="auto" w:fill="auto"/>
            <w:noWrap/>
            <w:vAlign w:val="center"/>
            <w:hideMark/>
          </w:tcPr>
          <w:p w14:paraId="7C3C45E2" w14:textId="77777777" w:rsidR="00C14845" w:rsidRPr="006A64CA" w:rsidRDefault="00C14845" w:rsidP="0096187D">
            <w:pPr>
              <w:spacing w:after="0"/>
              <w:jc w:val="right"/>
              <w:rPr>
                <w:rFonts w:cs="Arial"/>
                <w:bCs/>
                <w:sz w:val="20"/>
                <w:szCs w:val="20"/>
              </w:rPr>
            </w:pPr>
            <w:r w:rsidRPr="006A64CA">
              <w:rPr>
                <w:rFonts w:cs="Arial"/>
                <w:bCs/>
                <w:sz w:val="20"/>
                <w:szCs w:val="20"/>
              </w:rPr>
              <w:t>0,686</w:t>
            </w:r>
          </w:p>
        </w:tc>
        <w:tc>
          <w:tcPr>
            <w:tcW w:w="709" w:type="dxa"/>
            <w:tcBorders>
              <w:bottom w:val="single" w:sz="4" w:space="0" w:color="auto"/>
            </w:tcBorders>
            <w:shd w:val="clear" w:color="auto" w:fill="auto"/>
            <w:noWrap/>
            <w:vAlign w:val="center"/>
            <w:hideMark/>
          </w:tcPr>
          <w:p w14:paraId="2F51E198" w14:textId="77777777" w:rsidR="00C14845" w:rsidRPr="006A64CA" w:rsidRDefault="00C14845" w:rsidP="0096187D">
            <w:pPr>
              <w:spacing w:after="0"/>
              <w:rPr>
                <w:rFonts w:cs="Arial"/>
                <w:b/>
                <w:bCs/>
                <w:sz w:val="20"/>
                <w:szCs w:val="20"/>
              </w:rPr>
            </w:pPr>
            <w:r w:rsidRPr="006A64CA">
              <w:rPr>
                <w:rFonts w:cs="Arial"/>
                <w:b/>
                <w:bCs/>
                <w:sz w:val="20"/>
                <w:szCs w:val="20"/>
              </w:rPr>
              <w:t> </w:t>
            </w:r>
          </w:p>
        </w:tc>
      </w:tr>
    </w:tbl>
    <w:p w14:paraId="6D7755CB" w14:textId="77777777" w:rsidR="0089127F" w:rsidRPr="00354913" w:rsidRDefault="0089127F" w:rsidP="0089127F">
      <w:pPr>
        <w:autoSpaceDE w:val="0"/>
        <w:autoSpaceDN w:val="0"/>
        <w:adjustRightInd w:val="0"/>
        <w:jc w:val="both"/>
        <w:rPr>
          <w:rFonts w:ascii="Garamond" w:eastAsia="Times New Roman" w:hAnsi="Garamond"/>
          <w:sz w:val="20"/>
          <w:szCs w:val="20"/>
          <w:lang w:eastAsia="pt-BR"/>
        </w:rPr>
      </w:pPr>
      <w:r w:rsidRPr="00A800E7">
        <w:rPr>
          <w:rFonts w:ascii="Garamond" w:eastAsia="Times New Roman" w:hAnsi="Garamond"/>
          <w:b/>
          <w:bCs/>
          <w:sz w:val="20"/>
          <w:szCs w:val="20"/>
          <w:lang w:eastAsia="pt-BR"/>
        </w:rPr>
        <w:t>Fonte</w:t>
      </w:r>
      <w:r w:rsidRPr="00A800E7">
        <w:rPr>
          <w:rFonts w:ascii="Garamond" w:eastAsia="Times New Roman" w:hAnsi="Garamond"/>
          <w:sz w:val="20"/>
          <w:szCs w:val="20"/>
          <w:lang w:eastAsia="pt-BR"/>
        </w:rPr>
        <w:t>: Dados da pesquisa</w:t>
      </w:r>
    </w:p>
    <w:p w14:paraId="04687F63" w14:textId="77777777" w:rsidR="00D96264" w:rsidRDefault="00D96264" w:rsidP="009F6351">
      <w:pPr>
        <w:autoSpaceDE w:val="0"/>
        <w:autoSpaceDN w:val="0"/>
        <w:adjustRightInd w:val="0"/>
        <w:jc w:val="both"/>
        <w:rPr>
          <w:rFonts w:ascii="Garamond" w:eastAsia="Times New Roman" w:hAnsi="Garamond"/>
          <w:lang w:eastAsia="pt-BR"/>
        </w:rPr>
      </w:pPr>
      <w:r w:rsidRPr="00D96264">
        <w:rPr>
          <w:rFonts w:ascii="Garamond" w:eastAsia="Times New Roman" w:hAnsi="Garamond"/>
          <w:lang w:eastAsia="pt-BR"/>
        </w:rPr>
        <w:t xml:space="preserve">Assim, o modelo de mensuração foi validado, ou seja, foram validadas a validade convergente, a confiabilidade e a validade discriminante. A validade convergente foi constatada utilizando-se AVE e as cargas fatoriais. A confiabilidade foi constatada utilizando o AC, CC e o </w:t>
      </w:r>
      <w:proofErr w:type="spellStart"/>
      <w:r w:rsidRPr="00D96264">
        <w:rPr>
          <w:rFonts w:ascii="Garamond" w:eastAsia="Times New Roman" w:hAnsi="Garamond"/>
          <w:lang w:eastAsia="pt-BR"/>
        </w:rPr>
        <w:t>Rho_A</w:t>
      </w:r>
      <w:proofErr w:type="spellEnd"/>
      <w:r w:rsidRPr="00D96264">
        <w:rPr>
          <w:rFonts w:ascii="Garamond" w:eastAsia="Times New Roman" w:hAnsi="Garamond"/>
          <w:lang w:eastAsia="pt-BR"/>
        </w:rPr>
        <w:t xml:space="preserve">. A validade discriminante foi verificada utilizando-se três critérios (Cargas cruzadas, </w:t>
      </w:r>
      <w:proofErr w:type="spellStart"/>
      <w:r w:rsidRPr="00D96264">
        <w:rPr>
          <w:rFonts w:ascii="Garamond" w:eastAsia="Times New Roman" w:hAnsi="Garamond"/>
          <w:lang w:eastAsia="pt-BR"/>
        </w:rPr>
        <w:t>Fornell</w:t>
      </w:r>
      <w:proofErr w:type="spellEnd"/>
      <w:r w:rsidRPr="00D96264">
        <w:rPr>
          <w:rFonts w:ascii="Garamond" w:eastAsia="Times New Roman" w:hAnsi="Garamond"/>
          <w:lang w:eastAsia="pt-BR"/>
        </w:rPr>
        <w:t xml:space="preserve"> e Lacker e o HTMT). Logo, isso permite ir para a próxima etapa, o teste das hipóteses.</w:t>
      </w:r>
    </w:p>
    <w:p w14:paraId="4469B142" w14:textId="1576BA59" w:rsidR="00263786" w:rsidRPr="004F5E05" w:rsidRDefault="00263786" w:rsidP="00263786">
      <w:pPr>
        <w:autoSpaceDE w:val="0"/>
        <w:autoSpaceDN w:val="0"/>
        <w:adjustRightInd w:val="0"/>
        <w:jc w:val="both"/>
        <w:rPr>
          <w:rFonts w:ascii="Garamond" w:hAnsi="Garamond"/>
          <w:b/>
          <w:sz w:val="28"/>
          <w:szCs w:val="28"/>
          <w:lang w:eastAsia="pt-BR"/>
        </w:rPr>
      </w:pPr>
      <w:r w:rsidRPr="006725A6">
        <w:rPr>
          <w:rFonts w:ascii="Garamond" w:hAnsi="Garamond"/>
          <w:b/>
          <w:sz w:val="28"/>
          <w:szCs w:val="28"/>
          <w:lang w:eastAsia="pt-BR"/>
        </w:rPr>
        <w:t xml:space="preserve">Modelo </w:t>
      </w:r>
      <w:r>
        <w:rPr>
          <w:rFonts w:ascii="Garamond" w:hAnsi="Garamond"/>
          <w:b/>
          <w:sz w:val="28"/>
          <w:szCs w:val="28"/>
          <w:lang w:eastAsia="pt-BR"/>
        </w:rPr>
        <w:t>estrutural</w:t>
      </w:r>
    </w:p>
    <w:p w14:paraId="1FF81BCA" w14:textId="77777777" w:rsidR="00E4483E" w:rsidRPr="00E4483E" w:rsidRDefault="00E4483E" w:rsidP="00E4483E">
      <w:pPr>
        <w:autoSpaceDE w:val="0"/>
        <w:autoSpaceDN w:val="0"/>
        <w:adjustRightInd w:val="0"/>
        <w:jc w:val="both"/>
        <w:rPr>
          <w:rFonts w:ascii="Garamond" w:eastAsia="Times New Roman" w:hAnsi="Garamond"/>
          <w:lang w:eastAsia="pt-BR"/>
        </w:rPr>
      </w:pPr>
      <w:r w:rsidRPr="00E4483E">
        <w:rPr>
          <w:rFonts w:ascii="Garamond" w:eastAsia="Times New Roman" w:hAnsi="Garamond"/>
          <w:lang w:eastAsia="pt-BR"/>
        </w:rPr>
        <w:t xml:space="preserve">Após validado o modelo de mensuração, nesta etapa, testaram-se as relações do modelo estrutural, ou seja, as hipóteses. Para avaliação do modelo estrutural, levaram-se em consideração às medidas de Q², </w:t>
      </w:r>
      <w:r w:rsidRPr="00E4483E">
        <w:rPr>
          <w:rFonts w:ascii="Garamond" w:eastAsia="Times New Roman" w:hAnsi="Garamond"/>
          <w:lang w:eastAsia="pt-BR"/>
        </w:rPr>
        <w:lastRenderedPageBreak/>
        <w:t>R², p-valor, f² e VIF (</w:t>
      </w:r>
      <w:proofErr w:type="spellStart"/>
      <w:r w:rsidRPr="00E4483E">
        <w:rPr>
          <w:rFonts w:ascii="Garamond" w:eastAsia="Times New Roman" w:hAnsi="Garamond"/>
          <w:lang w:eastAsia="pt-BR"/>
        </w:rPr>
        <w:t>Hair</w:t>
      </w:r>
      <w:proofErr w:type="spellEnd"/>
      <w:r w:rsidRPr="00E4483E">
        <w:rPr>
          <w:rFonts w:ascii="Garamond" w:eastAsia="Times New Roman" w:hAnsi="Garamond"/>
          <w:lang w:eastAsia="pt-BR"/>
        </w:rPr>
        <w:t xml:space="preserve"> et al., 2011; </w:t>
      </w:r>
      <w:proofErr w:type="spellStart"/>
      <w:r w:rsidRPr="00E4483E">
        <w:rPr>
          <w:rFonts w:ascii="Garamond" w:eastAsia="Times New Roman" w:hAnsi="Garamond"/>
          <w:lang w:eastAsia="pt-BR"/>
        </w:rPr>
        <w:t>Bido</w:t>
      </w:r>
      <w:proofErr w:type="spellEnd"/>
      <w:r w:rsidRPr="00E4483E">
        <w:rPr>
          <w:rFonts w:ascii="Garamond" w:eastAsia="Times New Roman" w:hAnsi="Garamond"/>
          <w:lang w:eastAsia="pt-BR"/>
        </w:rPr>
        <w:t xml:space="preserve"> &amp; Silva, 2019; </w:t>
      </w:r>
      <w:proofErr w:type="spellStart"/>
      <w:r w:rsidRPr="00E4483E">
        <w:rPr>
          <w:rFonts w:ascii="Garamond" w:eastAsia="Times New Roman" w:hAnsi="Garamond"/>
          <w:lang w:eastAsia="pt-BR"/>
        </w:rPr>
        <w:t>Hair</w:t>
      </w:r>
      <w:proofErr w:type="spellEnd"/>
      <w:r w:rsidRPr="00E4483E">
        <w:rPr>
          <w:rFonts w:ascii="Garamond" w:eastAsia="Times New Roman" w:hAnsi="Garamond"/>
          <w:lang w:eastAsia="pt-BR"/>
        </w:rPr>
        <w:t xml:space="preserve"> et al., 2019). </w:t>
      </w:r>
    </w:p>
    <w:p w14:paraId="0C4ED93F" w14:textId="1EC3626A" w:rsidR="00E4483E" w:rsidRPr="00E4483E" w:rsidRDefault="00E4483E" w:rsidP="00E4483E">
      <w:pPr>
        <w:autoSpaceDE w:val="0"/>
        <w:autoSpaceDN w:val="0"/>
        <w:adjustRightInd w:val="0"/>
        <w:jc w:val="both"/>
        <w:rPr>
          <w:rFonts w:ascii="Garamond" w:eastAsia="Times New Roman" w:hAnsi="Garamond"/>
          <w:lang w:eastAsia="pt-BR"/>
        </w:rPr>
      </w:pPr>
      <w:r w:rsidRPr="00E4483E">
        <w:rPr>
          <w:rFonts w:ascii="Garamond" w:eastAsia="Times New Roman" w:hAnsi="Garamond"/>
          <w:lang w:eastAsia="pt-BR"/>
        </w:rPr>
        <w:t>Para verificar a capacidade de previsão do modelo em relação aos construtos endógenos foram avaliados os valores de Q². O Q² trata da relevância preditiva do modelo, sendo que para valores de Q² superiores à 0, 0,25 e 0,50, a relevância preditiva é considerada pequena, média e grande, respectivamente (</w:t>
      </w:r>
      <w:proofErr w:type="spellStart"/>
      <w:r w:rsidRPr="00E4483E">
        <w:rPr>
          <w:rFonts w:ascii="Garamond" w:eastAsia="Times New Roman" w:hAnsi="Garamond"/>
          <w:lang w:eastAsia="pt-BR"/>
        </w:rPr>
        <w:t>Hair</w:t>
      </w:r>
      <w:proofErr w:type="spellEnd"/>
      <w:r w:rsidRPr="00E4483E">
        <w:rPr>
          <w:rFonts w:ascii="Garamond" w:eastAsia="Times New Roman" w:hAnsi="Garamond"/>
          <w:lang w:eastAsia="pt-BR"/>
        </w:rPr>
        <w:t xml:space="preserve"> et al., 2019). Neste caso, os resultados de Q² dos construtos foram: satisfação no trabalho (Q²=0,296), satisfação com a vida (Q²=0,145), significado da vida (Q²=0,178), bem-estar existencial (Q²=0,058) e comprometimento com a carreira (Q²=0,206). Isso demonstra que o construto satisfação no trabalho tem uma relevância preditiva média e os demais construtos têm uma relevância preditiva pequena (ver figura 2).</w:t>
      </w:r>
    </w:p>
    <w:p w14:paraId="47F0F697" w14:textId="77777777" w:rsidR="00E4483E" w:rsidRPr="00E4483E" w:rsidRDefault="00E4483E" w:rsidP="00E4483E">
      <w:pPr>
        <w:autoSpaceDE w:val="0"/>
        <w:autoSpaceDN w:val="0"/>
        <w:adjustRightInd w:val="0"/>
        <w:jc w:val="both"/>
        <w:rPr>
          <w:rFonts w:ascii="Garamond" w:eastAsia="Times New Roman" w:hAnsi="Garamond"/>
          <w:lang w:eastAsia="pt-BR"/>
        </w:rPr>
      </w:pPr>
      <w:r w:rsidRPr="00E4483E">
        <w:rPr>
          <w:rFonts w:ascii="Garamond" w:eastAsia="Times New Roman" w:hAnsi="Garamond"/>
          <w:lang w:eastAsia="pt-BR"/>
        </w:rPr>
        <w:t>Foram avaliados também, os valores de R² (coeficiente de determinação ou coeficiente de Pearson). O R² trata do poder explicativo do modelo estrutural, ou seja, o efeito dos construtos exógenos sobre os construtos endógenos, sendo que para os valores de R² considera-se: 0,02, como pequeno, 0,13, como médio e 0,26, como grande (Cohen, 1988). Neste caso, os resultados dos construtos foram de satisfação no trabalho (R² = 0,430), satisfação com a vida (R² = 0,240), significado da vida (R² =0,278), bem-estar existencial (R² = 0,108) e comprometimento com a carreira (R² = 0,436). Isso significa que a relação entre perceber um chamado com os construtos comprometimento com a carreira, significado da vida e satisfação no trabalho tem um poder explicativo grande; a relação entre perceber um chamado com o construto satisfação com a vida tem um poder explicativo médio; e a relação entre perceber um chamado com o construto bem-estar existencial tem um poder explicativo pequeno (ver figura 2).</w:t>
      </w:r>
    </w:p>
    <w:p w14:paraId="687F6E7F" w14:textId="0230DB3F" w:rsidR="00D96264" w:rsidRDefault="00E4483E" w:rsidP="00E4483E">
      <w:pPr>
        <w:autoSpaceDE w:val="0"/>
        <w:autoSpaceDN w:val="0"/>
        <w:adjustRightInd w:val="0"/>
        <w:jc w:val="both"/>
        <w:rPr>
          <w:rFonts w:ascii="Garamond" w:eastAsia="Times New Roman" w:hAnsi="Garamond"/>
          <w:lang w:eastAsia="pt-BR"/>
        </w:rPr>
      </w:pPr>
      <w:r w:rsidRPr="00E4483E">
        <w:rPr>
          <w:rFonts w:ascii="Garamond" w:eastAsia="Times New Roman" w:hAnsi="Garamond"/>
          <w:lang w:eastAsia="pt-BR"/>
        </w:rPr>
        <w:t>Por meio da figura 2 é possível verificar as relações estatisticamente significativas entre os construtos do modelo estrutural proposto. Assim, foi possível analisar as relações diretas entre perceber um chamado com satisfação com o trabalho, satisfação com a vida, significado da vida, bem-estar existencial e comprometimento com a carreira, e o papel do efeito moderador de viver um chamado nestas relações diretas.</w:t>
      </w:r>
    </w:p>
    <w:p w14:paraId="7772A567" w14:textId="697F8873" w:rsidR="000F0EF3" w:rsidRPr="000F0EF3" w:rsidRDefault="000F0EF3" w:rsidP="000F0EF3">
      <w:pPr>
        <w:autoSpaceDE w:val="0"/>
        <w:autoSpaceDN w:val="0"/>
        <w:adjustRightInd w:val="0"/>
        <w:jc w:val="both"/>
        <w:rPr>
          <w:rFonts w:ascii="Garamond" w:eastAsia="Times New Roman" w:hAnsi="Garamond"/>
          <w:sz w:val="20"/>
          <w:szCs w:val="20"/>
          <w:lang w:eastAsia="pt-BR"/>
        </w:rPr>
      </w:pPr>
      <w:r w:rsidRPr="000F0EF3">
        <w:rPr>
          <w:rFonts w:ascii="Garamond" w:eastAsia="Times New Roman" w:hAnsi="Garamond"/>
          <w:b/>
          <w:bCs/>
          <w:sz w:val="20"/>
          <w:szCs w:val="20"/>
          <w:lang w:eastAsia="pt-BR"/>
        </w:rPr>
        <w:t>Figura</w:t>
      </w:r>
      <w:r w:rsidR="00D9029B">
        <w:rPr>
          <w:rFonts w:ascii="Garamond" w:eastAsia="Times New Roman" w:hAnsi="Garamond"/>
          <w:b/>
          <w:bCs/>
          <w:sz w:val="20"/>
          <w:szCs w:val="20"/>
          <w:lang w:eastAsia="pt-BR"/>
        </w:rPr>
        <w:t xml:space="preserve"> 2</w:t>
      </w:r>
      <w:r>
        <w:rPr>
          <w:rFonts w:ascii="Garamond" w:eastAsia="Times New Roman" w:hAnsi="Garamond"/>
          <w:b/>
          <w:bCs/>
          <w:sz w:val="20"/>
          <w:szCs w:val="20"/>
          <w:lang w:eastAsia="pt-BR"/>
        </w:rPr>
        <w:t>.</w:t>
      </w:r>
      <w:r w:rsidRPr="000F0EF3">
        <w:rPr>
          <w:rFonts w:ascii="Garamond" w:eastAsia="Times New Roman" w:hAnsi="Garamond"/>
          <w:sz w:val="20"/>
          <w:szCs w:val="20"/>
          <w:lang w:eastAsia="pt-BR"/>
        </w:rPr>
        <w:t xml:space="preserve"> Modelo de relações estruturais; </w:t>
      </w:r>
    </w:p>
    <w:p w14:paraId="5461EBEB" w14:textId="065A920C" w:rsidR="0024437A" w:rsidRDefault="0024437A" w:rsidP="00E4483E">
      <w:pPr>
        <w:autoSpaceDE w:val="0"/>
        <w:autoSpaceDN w:val="0"/>
        <w:adjustRightInd w:val="0"/>
        <w:jc w:val="both"/>
        <w:rPr>
          <w:rFonts w:ascii="Garamond" w:eastAsia="Times New Roman" w:hAnsi="Garamond"/>
          <w:lang w:eastAsia="pt-BR"/>
        </w:rPr>
      </w:pPr>
      <w:r w:rsidRPr="00BE75A2">
        <w:rPr>
          <w:noProof/>
          <w:bdr w:val="single" w:sz="4" w:space="0" w:color="auto"/>
        </w:rPr>
        <w:drawing>
          <wp:inline distT="0" distB="0" distL="0" distR="0" wp14:anchorId="5BA18557" wp14:editId="0502CAA1">
            <wp:extent cx="5719864" cy="3180945"/>
            <wp:effectExtent l="0" t="0" r="0" b="635"/>
            <wp:docPr id="3" name="Imagem 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iagrama&#10;&#10;Descrição gerada automaticamente"/>
                    <pic:cNvPicPr/>
                  </pic:nvPicPr>
                  <pic:blipFill rotWithShape="1">
                    <a:blip r:embed="rId13">
                      <a:extLst>
                        <a:ext uri="{28A0092B-C50C-407E-A947-70E740481C1C}">
                          <a14:useLocalDpi xmlns:a14="http://schemas.microsoft.com/office/drawing/2010/main" val="0"/>
                        </a:ext>
                      </a:extLst>
                    </a:blip>
                    <a:srcRect t="13809" b="12041"/>
                    <a:stretch/>
                  </pic:blipFill>
                  <pic:spPr bwMode="auto">
                    <a:xfrm>
                      <a:off x="0" y="0"/>
                      <a:ext cx="5745010" cy="3194929"/>
                    </a:xfrm>
                    <a:prstGeom prst="rect">
                      <a:avLst/>
                    </a:prstGeom>
                    <a:ln>
                      <a:noFill/>
                    </a:ln>
                    <a:extLst>
                      <a:ext uri="{53640926-AAD7-44D8-BBD7-CCE9431645EC}">
                        <a14:shadowObscured xmlns:a14="http://schemas.microsoft.com/office/drawing/2010/main"/>
                      </a:ext>
                    </a:extLst>
                  </pic:spPr>
                </pic:pic>
              </a:graphicData>
            </a:graphic>
          </wp:inline>
        </w:drawing>
      </w:r>
    </w:p>
    <w:p w14:paraId="3A898D19" w14:textId="77777777" w:rsidR="000F0EF3" w:rsidRPr="000F0EF3" w:rsidRDefault="000F0EF3" w:rsidP="00E20E0D">
      <w:pPr>
        <w:autoSpaceDE w:val="0"/>
        <w:autoSpaceDN w:val="0"/>
        <w:adjustRightInd w:val="0"/>
        <w:spacing w:after="0"/>
        <w:jc w:val="both"/>
        <w:rPr>
          <w:rFonts w:ascii="Garamond" w:eastAsia="Times New Roman" w:hAnsi="Garamond"/>
          <w:sz w:val="20"/>
          <w:szCs w:val="20"/>
          <w:lang w:eastAsia="pt-BR"/>
        </w:rPr>
      </w:pPr>
      <w:r w:rsidRPr="000F0EF3">
        <w:rPr>
          <w:rFonts w:ascii="Garamond" w:eastAsia="Times New Roman" w:hAnsi="Garamond"/>
          <w:b/>
          <w:bCs/>
          <w:sz w:val="20"/>
          <w:szCs w:val="20"/>
          <w:lang w:eastAsia="pt-BR"/>
        </w:rPr>
        <w:t>Fonte:</w:t>
      </w:r>
      <w:r w:rsidRPr="000F0EF3">
        <w:rPr>
          <w:rFonts w:ascii="Garamond" w:eastAsia="Times New Roman" w:hAnsi="Garamond"/>
          <w:sz w:val="20"/>
          <w:szCs w:val="20"/>
          <w:lang w:eastAsia="pt-BR"/>
        </w:rPr>
        <w:t xml:space="preserve"> Dados da pesquisa. </w:t>
      </w:r>
    </w:p>
    <w:p w14:paraId="49F6D97D" w14:textId="77777777" w:rsidR="000F0EF3" w:rsidRPr="000F0EF3" w:rsidRDefault="000F0EF3" w:rsidP="00E20E0D">
      <w:pPr>
        <w:autoSpaceDE w:val="0"/>
        <w:autoSpaceDN w:val="0"/>
        <w:adjustRightInd w:val="0"/>
        <w:spacing w:after="0"/>
        <w:jc w:val="both"/>
        <w:rPr>
          <w:rFonts w:ascii="Garamond" w:eastAsia="Times New Roman" w:hAnsi="Garamond"/>
          <w:sz w:val="20"/>
          <w:szCs w:val="20"/>
          <w:lang w:eastAsia="pt-BR"/>
        </w:rPr>
      </w:pPr>
      <w:r w:rsidRPr="000F0EF3">
        <w:rPr>
          <w:rFonts w:ascii="Garamond" w:eastAsia="Times New Roman" w:hAnsi="Garamond"/>
          <w:b/>
          <w:bCs/>
          <w:sz w:val="20"/>
          <w:szCs w:val="20"/>
          <w:lang w:eastAsia="pt-BR"/>
        </w:rPr>
        <w:t>Nota:</w:t>
      </w:r>
      <w:r w:rsidRPr="000F0EF3">
        <w:rPr>
          <w:rFonts w:ascii="Garamond" w:eastAsia="Times New Roman" w:hAnsi="Garamond"/>
          <w:sz w:val="20"/>
          <w:szCs w:val="20"/>
          <w:lang w:eastAsia="pt-BR"/>
        </w:rPr>
        <w:t xml:space="preserve"> * Valor-p &lt; 0,01 (significante a 1%).</w:t>
      </w:r>
    </w:p>
    <w:p w14:paraId="7FCD69A3" w14:textId="77777777" w:rsidR="0024437A" w:rsidRDefault="0024437A" w:rsidP="00E4483E">
      <w:pPr>
        <w:autoSpaceDE w:val="0"/>
        <w:autoSpaceDN w:val="0"/>
        <w:adjustRightInd w:val="0"/>
        <w:jc w:val="both"/>
        <w:rPr>
          <w:rFonts w:ascii="Garamond" w:eastAsia="Times New Roman" w:hAnsi="Garamond"/>
          <w:lang w:eastAsia="pt-BR"/>
        </w:rPr>
      </w:pPr>
    </w:p>
    <w:p w14:paraId="7AF30680" w14:textId="77777777" w:rsidR="004D1E29" w:rsidRDefault="00AF209B" w:rsidP="009F6351">
      <w:pPr>
        <w:autoSpaceDE w:val="0"/>
        <w:autoSpaceDN w:val="0"/>
        <w:adjustRightInd w:val="0"/>
        <w:jc w:val="both"/>
        <w:rPr>
          <w:rFonts w:ascii="Garamond" w:eastAsia="Times New Roman" w:hAnsi="Garamond"/>
          <w:lang w:eastAsia="pt-BR"/>
        </w:rPr>
      </w:pPr>
      <w:r w:rsidRPr="00AF209B">
        <w:rPr>
          <w:rFonts w:ascii="Garamond" w:eastAsia="Times New Roman" w:hAnsi="Garamond"/>
          <w:lang w:eastAsia="pt-BR"/>
        </w:rPr>
        <w:lastRenderedPageBreak/>
        <w:t>Complementarmente a figura 2, na tabela 7 foram verificadas as relações diretas e as moderações a um nível de 1% de significância. Os resultados evidenciaram que há uma relação direta positiva entre perceber um chamado com significado da vida (</w:t>
      </w:r>
      <w:r w:rsidRPr="00AF209B">
        <w:rPr>
          <w:rFonts w:ascii="Garamond" w:eastAsia="Times New Roman" w:hAnsi="Garamond"/>
          <w:b/>
          <w:bCs/>
          <w:lang w:eastAsia="pt-BR"/>
        </w:rPr>
        <w:t>H1c</w:t>
      </w:r>
      <w:r w:rsidRPr="00AF209B">
        <w:rPr>
          <w:rFonts w:ascii="Garamond" w:eastAsia="Times New Roman" w:hAnsi="Garamond"/>
          <w:lang w:eastAsia="pt-BR"/>
        </w:rPr>
        <w:t xml:space="preserve">: β = 0,266; </w:t>
      </w:r>
      <w:proofErr w:type="spellStart"/>
      <w:r w:rsidRPr="00AF209B">
        <w:rPr>
          <w:rFonts w:ascii="Garamond" w:eastAsia="Times New Roman" w:hAnsi="Garamond"/>
          <w:lang w:eastAsia="pt-BR"/>
        </w:rPr>
        <w:t>Valor-t</w:t>
      </w:r>
      <w:proofErr w:type="spellEnd"/>
      <w:r w:rsidRPr="00AF209B">
        <w:rPr>
          <w:rFonts w:ascii="Garamond" w:eastAsia="Times New Roman" w:hAnsi="Garamond"/>
          <w:lang w:eastAsia="pt-BR"/>
        </w:rPr>
        <w:t xml:space="preserve"> = 4,399; Valor-p = 0,000), logo a hipótese H1c foi suportada. Por outro lado, às relações diretas positivas entre perceber um chamado com satisfação no trabalho (</w:t>
      </w:r>
      <w:r w:rsidRPr="00D8466A">
        <w:rPr>
          <w:rFonts w:ascii="Garamond" w:eastAsia="Times New Roman" w:hAnsi="Garamond"/>
          <w:b/>
          <w:bCs/>
          <w:lang w:eastAsia="pt-BR"/>
        </w:rPr>
        <w:t>H1a</w:t>
      </w:r>
      <w:r w:rsidRPr="00AF209B">
        <w:rPr>
          <w:rFonts w:ascii="Garamond" w:eastAsia="Times New Roman" w:hAnsi="Garamond"/>
          <w:lang w:eastAsia="pt-BR"/>
        </w:rPr>
        <w:t xml:space="preserve">: β = -0,200; </w:t>
      </w:r>
      <w:proofErr w:type="spellStart"/>
      <w:r w:rsidRPr="00AF209B">
        <w:rPr>
          <w:rFonts w:ascii="Garamond" w:eastAsia="Times New Roman" w:hAnsi="Garamond"/>
          <w:lang w:eastAsia="pt-BR"/>
        </w:rPr>
        <w:t>Valor-t</w:t>
      </w:r>
      <w:proofErr w:type="spellEnd"/>
      <w:r w:rsidRPr="00AF209B">
        <w:rPr>
          <w:rFonts w:ascii="Garamond" w:eastAsia="Times New Roman" w:hAnsi="Garamond"/>
          <w:lang w:eastAsia="pt-BR"/>
        </w:rPr>
        <w:t xml:space="preserve"> = 3,466; Valor-p = 0,001), satisfação com a vida (</w:t>
      </w:r>
      <w:r w:rsidRPr="00D8466A">
        <w:rPr>
          <w:rFonts w:ascii="Garamond" w:eastAsia="Times New Roman" w:hAnsi="Garamond"/>
          <w:b/>
          <w:bCs/>
          <w:lang w:eastAsia="pt-BR"/>
        </w:rPr>
        <w:t>H1b</w:t>
      </w:r>
      <w:r w:rsidRPr="00AF209B">
        <w:rPr>
          <w:rFonts w:ascii="Garamond" w:eastAsia="Times New Roman" w:hAnsi="Garamond"/>
          <w:lang w:eastAsia="pt-BR"/>
        </w:rPr>
        <w:t xml:space="preserve">: β = 0,014; </w:t>
      </w:r>
      <w:proofErr w:type="spellStart"/>
      <w:r w:rsidRPr="00AF209B">
        <w:rPr>
          <w:rFonts w:ascii="Garamond" w:eastAsia="Times New Roman" w:hAnsi="Garamond"/>
          <w:lang w:eastAsia="pt-BR"/>
        </w:rPr>
        <w:t>Valor-t</w:t>
      </w:r>
      <w:proofErr w:type="spellEnd"/>
      <w:r w:rsidRPr="00AF209B">
        <w:rPr>
          <w:rFonts w:ascii="Garamond" w:eastAsia="Times New Roman" w:hAnsi="Garamond"/>
          <w:lang w:eastAsia="pt-BR"/>
        </w:rPr>
        <w:t xml:space="preserve"> = 0,230; Valor-p = 0,818), bem-estar existencial (</w:t>
      </w:r>
      <w:r w:rsidRPr="00D8466A">
        <w:rPr>
          <w:rFonts w:ascii="Garamond" w:eastAsia="Times New Roman" w:hAnsi="Garamond"/>
          <w:b/>
          <w:bCs/>
          <w:lang w:eastAsia="pt-BR"/>
        </w:rPr>
        <w:t>H1d</w:t>
      </w:r>
      <w:r w:rsidRPr="00AF209B">
        <w:rPr>
          <w:rFonts w:ascii="Garamond" w:eastAsia="Times New Roman" w:hAnsi="Garamond"/>
          <w:lang w:eastAsia="pt-BR"/>
        </w:rPr>
        <w:t xml:space="preserve">: β = -0,020; </w:t>
      </w:r>
      <w:proofErr w:type="spellStart"/>
      <w:r w:rsidRPr="00AF209B">
        <w:rPr>
          <w:rFonts w:ascii="Garamond" w:eastAsia="Times New Roman" w:hAnsi="Garamond"/>
          <w:lang w:eastAsia="pt-BR"/>
        </w:rPr>
        <w:t>Valor-t</w:t>
      </w:r>
      <w:proofErr w:type="spellEnd"/>
      <w:r w:rsidRPr="00AF209B">
        <w:rPr>
          <w:rFonts w:ascii="Garamond" w:eastAsia="Times New Roman" w:hAnsi="Garamond"/>
          <w:lang w:eastAsia="pt-BR"/>
        </w:rPr>
        <w:t xml:space="preserve"> = 0,307; Valor-p = 0,759), comprometimento com a carreira (</w:t>
      </w:r>
      <w:r w:rsidRPr="00D8466A">
        <w:rPr>
          <w:rFonts w:ascii="Garamond" w:eastAsia="Times New Roman" w:hAnsi="Garamond"/>
          <w:b/>
          <w:bCs/>
          <w:lang w:eastAsia="pt-BR"/>
        </w:rPr>
        <w:t>H1e</w:t>
      </w:r>
      <w:r w:rsidRPr="00AF209B">
        <w:rPr>
          <w:rFonts w:ascii="Garamond" w:eastAsia="Times New Roman" w:hAnsi="Garamond"/>
          <w:lang w:eastAsia="pt-BR"/>
        </w:rPr>
        <w:t xml:space="preserve">: β = -0,088; </w:t>
      </w:r>
      <w:proofErr w:type="spellStart"/>
      <w:r w:rsidRPr="00AF209B">
        <w:rPr>
          <w:rFonts w:ascii="Garamond" w:eastAsia="Times New Roman" w:hAnsi="Garamond"/>
          <w:lang w:eastAsia="pt-BR"/>
        </w:rPr>
        <w:t>Valor-t</w:t>
      </w:r>
      <w:proofErr w:type="spellEnd"/>
      <w:r w:rsidRPr="00AF209B">
        <w:rPr>
          <w:rFonts w:ascii="Garamond" w:eastAsia="Times New Roman" w:hAnsi="Garamond"/>
          <w:lang w:eastAsia="pt-BR"/>
        </w:rPr>
        <w:t xml:space="preserve"> = 1,887; Valor-p = 0,059) não foram suportadas. Da mesma forma, o efeito moderador de viver um chamado na relação entre perceber um chamado com satisfação no trabalho (</w:t>
      </w:r>
      <w:r w:rsidRPr="00D8466A">
        <w:rPr>
          <w:rFonts w:ascii="Garamond" w:eastAsia="Times New Roman" w:hAnsi="Garamond"/>
          <w:b/>
          <w:bCs/>
          <w:lang w:eastAsia="pt-BR"/>
        </w:rPr>
        <w:t>H2a</w:t>
      </w:r>
      <w:r w:rsidRPr="00AF209B">
        <w:rPr>
          <w:rFonts w:ascii="Garamond" w:eastAsia="Times New Roman" w:hAnsi="Garamond"/>
          <w:lang w:eastAsia="pt-BR"/>
        </w:rPr>
        <w:t xml:space="preserve">: β = 0,182; </w:t>
      </w:r>
      <w:proofErr w:type="spellStart"/>
      <w:r w:rsidRPr="00AF209B">
        <w:rPr>
          <w:rFonts w:ascii="Garamond" w:eastAsia="Times New Roman" w:hAnsi="Garamond"/>
          <w:lang w:eastAsia="pt-BR"/>
        </w:rPr>
        <w:t>Valor-t</w:t>
      </w:r>
      <w:proofErr w:type="spellEnd"/>
      <w:r w:rsidRPr="00AF209B">
        <w:rPr>
          <w:rFonts w:ascii="Garamond" w:eastAsia="Times New Roman" w:hAnsi="Garamond"/>
          <w:lang w:eastAsia="pt-BR"/>
        </w:rPr>
        <w:t xml:space="preserve"> = 4,943; Valor-p = 0,000), satisfação com a vida (</w:t>
      </w:r>
      <w:r w:rsidRPr="004D1E29">
        <w:rPr>
          <w:rFonts w:ascii="Garamond" w:eastAsia="Times New Roman" w:hAnsi="Garamond"/>
          <w:b/>
          <w:bCs/>
          <w:lang w:eastAsia="pt-BR"/>
        </w:rPr>
        <w:t>H2b</w:t>
      </w:r>
      <w:r w:rsidRPr="00AF209B">
        <w:rPr>
          <w:rFonts w:ascii="Garamond" w:eastAsia="Times New Roman" w:hAnsi="Garamond"/>
          <w:lang w:eastAsia="pt-BR"/>
        </w:rPr>
        <w:t xml:space="preserve">: β = 0,113; </w:t>
      </w:r>
      <w:proofErr w:type="spellStart"/>
      <w:r w:rsidRPr="00AF209B">
        <w:rPr>
          <w:rFonts w:ascii="Garamond" w:eastAsia="Times New Roman" w:hAnsi="Garamond"/>
          <w:lang w:eastAsia="pt-BR"/>
        </w:rPr>
        <w:t>Valor-t</w:t>
      </w:r>
      <w:proofErr w:type="spellEnd"/>
      <w:r w:rsidRPr="00AF209B">
        <w:rPr>
          <w:rFonts w:ascii="Garamond" w:eastAsia="Times New Roman" w:hAnsi="Garamond"/>
          <w:lang w:eastAsia="pt-BR"/>
        </w:rPr>
        <w:t xml:space="preserve"> = 3,382; Valor-p = 0,001) e bem-estar existencial (</w:t>
      </w:r>
      <w:r w:rsidRPr="004D1E29">
        <w:rPr>
          <w:rFonts w:ascii="Garamond" w:eastAsia="Times New Roman" w:hAnsi="Garamond"/>
          <w:b/>
          <w:bCs/>
          <w:lang w:eastAsia="pt-BR"/>
        </w:rPr>
        <w:t>H2d</w:t>
      </w:r>
      <w:r w:rsidRPr="00AF209B">
        <w:rPr>
          <w:rFonts w:ascii="Garamond" w:eastAsia="Times New Roman" w:hAnsi="Garamond"/>
          <w:lang w:eastAsia="pt-BR"/>
        </w:rPr>
        <w:t xml:space="preserve">: β = 0,161; </w:t>
      </w:r>
      <w:proofErr w:type="spellStart"/>
      <w:r w:rsidRPr="00AF209B">
        <w:rPr>
          <w:rFonts w:ascii="Garamond" w:eastAsia="Times New Roman" w:hAnsi="Garamond"/>
          <w:lang w:eastAsia="pt-BR"/>
        </w:rPr>
        <w:t>Valor-t</w:t>
      </w:r>
      <w:proofErr w:type="spellEnd"/>
      <w:r w:rsidRPr="00AF209B">
        <w:rPr>
          <w:rFonts w:ascii="Garamond" w:eastAsia="Times New Roman" w:hAnsi="Garamond"/>
          <w:lang w:eastAsia="pt-BR"/>
        </w:rPr>
        <w:t xml:space="preserve"> = 3,983; Valor-p = 0,000), foram suportadas. Por outro lado, o efeito moderador de viver um chamado na relação entre de perceber um chamado com significado da vida (</w:t>
      </w:r>
      <w:r w:rsidRPr="004D1E29">
        <w:rPr>
          <w:rFonts w:ascii="Garamond" w:eastAsia="Times New Roman" w:hAnsi="Garamond"/>
          <w:b/>
          <w:bCs/>
          <w:lang w:eastAsia="pt-BR"/>
        </w:rPr>
        <w:t>H2c</w:t>
      </w:r>
      <w:r w:rsidRPr="00AF209B">
        <w:rPr>
          <w:rFonts w:ascii="Garamond" w:eastAsia="Times New Roman" w:hAnsi="Garamond"/>
          <w:lang w:eastAsia="pt-BR"/>
        </w:rPr>
        <w:t xml:space="preserve">: β = -0,048; </w:t>
      </w:r>
      <w:proofErr w:type="spellStart"/>
      <w:r w:rsidRPr="00AF209B">
        <w:rPr>
          <w:rFonts w:ascii="Garamond" w:eastAsia="Times New Roman" w:hAnsi="Garamond"/>
          <w:lang w:eastAsia="pt-BR"/>
        </w:rPr>
        <w:t>Valor-t</w:t>
      </w:r>
      <w:proofErr w:type="spellEnd"/>
      <w:r w:rsidRPr="00AF209B">
        <w:rPr>
          <w:rFonts w:ascii="Garamond" w:eastAsia="Times New Roman" w:hAnsi="Garamond"/>
          <w:lang w:eastAsia="pt-BR"/>
        </w:rPr>
        <w:t xml:space="preserve"> = 0,616; Valor-p = 0,538) e comprometimento com a carreira (</w:t>
      </w:r>
      <w:r w:rsidRPr="004D1E29">
        <w:rPr>
          <w:rFonts w:ascii="Garamond" w:eastAsia="Times New Roman" w:hAnsi="Garamond"/>
          <w:b/>
          <w:bCs/>
          <w:lang w:eastAsia="pt-BR"/>
        </w:rPr>
        <w:t>H2e</w:t>
      </w:r>
      <w:r w:rsidRPr="00AF209B">
        <w:rPr>
          <w:rFonts w:ascii="Garamond" w:eastAsia="Times New Roman" w:hAnsi="Garamond"/>
          <w:lang w:eastAsia="pt-BR"/>
        </w:rPr>
        <w:t xml:space="preserve">: β = 0,048; </w:t>
      </w:r>
      <w:proofErr w:type="spellStart"/>
      <w:r w:rsidRPr="00AF209B">
        <w:rPr>
          <w:rFonts w:ascii="Garamond" w:eastAsia="Times New Roman" w:hAnsi="Garamond"/>
          <w:lang w:eastAsia="pt-BR"/>
        </w:rPr>
        <w:t>Valor-t</w:t>
      </w:r>
      <w:proofErr w:type="spellEnd"/>
      <w:r w:rsidRPr="00AF209B">
        <w:rPr>
          <w:rFonts w:ascii="Garamond" w:eastAsia="Times New Roman" w:hAnsi="Garamond"/>
          <w:lang w:eastAsia="pt-BR"/>
        </w:rPr>
        <w:t xml:space="preserve"> = 1,693; Valor-p = 0,091), não foram suportadas. Conforme pode ser verificado na tabela 5.</w:t>
      </w:r>
    </w:p>
    <w:p w14:paraId="36BDF30D" w14:textId="5ADE2E78" w:rsidR="00B61AF6" w:rsidRPr="005744CA" w:rsidRDefault="005744CA" w:rsidP="009F6351">
      <w:pPr>
        <w:autoSpaceDE w:val="0"/>
        <w:autoSpaceDN w:val="0"/>
        <w:adjustRightInd w:val="0"/>
        <w:jc w:val="both"/>
        <w:rPr>
          <w:rFonts w:ascii="Garamond" w:eastAsia="Times New Roman" w:hAnsi="Garamond"/>
          <w:sz w:val="20"/>
          <w:szCs w:val="20"/>
          <w:lang w:eastAsia="pt-BR"/>
        </w:rPr>
      </w:pPr>
      <w:r w:rsidRPr="005744CA">
        <w:rPr>
          <w:rFonts w:ascii="Garamond" w:eastAsia="Times New Roman" w:hAnsi="Garamond"/>
          <w:b/>
          <w:bCs/>
          <w:sz w:val="20"/>
          <w:szCs w:val="20"/>
          <w:lang w:eastAsia="pt-BR"/>
        </w:rPr>
        <w:t>Tabela 5</w:t>
      </w:r>
      <w:r>
        <w:rPr>
          <w:rFonts w:ascii="Garamond" w:eastAsia="Times New Roman" w:hAnsi="Garamond"/>
          <w:sz w:val="20"/>
          <w:szCs w:val="20"/>
          <w:lang w:eastAsia="pt-BR"/>
        </w:rPr>
        <w:t>.</w:t>
      </w:r>
      <w:r w:rsidRPr="005744CA">
        <w:rPr>
          <w:rFonts w:ascii="Garamond" w:eastAsia="Times New Roman" w:hAnsi="Garamond"/>
          <w:sz w:val="20"/>
          <w:szCs w:val="20"/>
          <w:lang w:eastAsia="pt-BR"/>
        </w:rPr>
        <w:t xml:space="preserve"> resultados e validação das hipóteses</w:t>
      </w:r>
    </w:p>
    <w:tbl>
      <w:tblPr>
        <w:tblW w:w="9300" w:type="dxa"/>
        <w:tblInd w:w="55" w:type="dxa"/>
        <w:tblLayout w:type="fixed"/>
        <w:tblCellMar>
          <w:left w:w="70" w:type="dxa"/>
          <w:right w:w="70" w:type="dxa"/>
        </w:tblCellMar>
        <w:tblLook w:val="04A0" w:firstRow="1" w:lastRow="0" w:firstColumn="1" w:lastColumn="0" w:noHBand="0" w:noVBand="1"/>
      </w:tblPr>
      <w:tblGrid>
        <w:gridCol w:w="724"/>
        <w:gridCol w:w="1701"/>
        <w:gridCol w:w="851"/>
        <w:gridCol w:w="851"/>
        <w:gridCol w:w="851"/>
        <w:gridCol w:w="849"/>
        <w:gridCol w:w="1064"/>
        <w:gridCol w:w="850"/>
        <w:gridCol w:w="1559"/>
      </w:tblGrid>
      <w:tr w:rsidR="00B61AF6" w:rsidRPr="00B61AF6" w14:paraId="057A420B" w14:textId="77777777" w:rsidTr="0096187D">
        <w:trPr>
          <w:cantSplit/>
          <w:trHeight w:val="1238"/>
        </w:trPr>
        <w:tc>
          <w:tcPr>
            <w:tcW w:w="724" w:type="dxa"/>
            <w:tcBorders>
              <w:top w:val="single" w:sz="4" w:space="0" w:color="auto"/>
              <w:bottom w:val="single" w:sz="4" w:space="0" w:color="auto"/>
            </w:tcBorders>
            <w:shd w:val="clear" w:color="auto" w:fill="auto"/>
            <w:textDirection w:val="btLr"/>
            <w:vAlign w:val="center"/>
          </w:tcPr>
          <w:p w14:paraId="4C230D4C" w14:textId="77777777" w:rsidR="00B61AF6" w:rsidRPr="00B61AF6" w:rsidRDefault="00B61AF6" w:rsidP="0096187D">
            <w:pPr>
              <w:spacing w:after="0"/>
              <w:ind w:left="113" w:right="113"/>
              <w:jc w:val="center"/>
              <w:rPr>
                <w:rFonts w:ascii="Garamond" w:hAnsi="Garamond" w:cs="Arial"/>
                <w:bCs/>
                <w:color w:val="000000"/>
                <w:sz w:val="20"/>
                <w:szCs w:val="20"/>
              </w:rPr>
            </w:pPr>
            <w:r w:rsidRPr="00B61AF6">
              <w:rPr>
                <w:rFonts w:ascii="Garamond" w:hAnsi="Garamond" w:cs="Arial"/>
                <w:bCs/>
                <w:color w:val="000000"/>
                <w:sz w:val="20"/>
                <w:szCs w:val="20"/>
              </w:rPr>
              <w:t>Hipóteses</w:t>
            </w:r>
          </w:p>
        </w:tc>
        <w:tc>
          <w:tcPr>
            <w:tcW w:w="1701" w:type="dxa"/>
            <w:tcBorders>
              <w:top w:val="single" w:sz="4" w:space="0" w:color="auto"/>
              <w:bottom w:val="single" w:sz="4" w:space="0" w:color="auto"/>
            </w:tcBorders>
            <w:shd w:val="clear" w:color="auto" w:fill="auto"/>
            <w:noWrap/>
            <w:textDirection w:val="btLr"/>
            <w:vAlign w:val="center"/>
            <w:hideMark/>
          </w:tcPr>
          <w:p w14:paraId="77C20116" w14:textId="77777777" w:rsidR="00B61AF6" w:rsidRPr="00B61AF6" w:rsidRDefault="00B61AF6" w:rsidP="0096187D">
            <w:pPr>
              <w:spacing w:after="0"/>
              <w:ind w:left="113" w:right="113"/>
              <w:jc w:val="center"/>
              <w:rPr>
                <w:rFonts w:ascii="Garamond" w:hAnsi="Garamond" w:cs="Arial"/>
                <w:bCs/>
                <w:color w:val="000000"/>
                <w:sz w:val="20"/>
                <w:szCs w:val="20"/>
              </w:rPr>
            </w:pPr>
            <w:r w:rsidRPr="00B61AF6">
              <w:rPr>
                <w:rFonts w:ascii="Garamond" w:hAnsi="Garamond" w:cs="Arial"/>
                <w:bCs/>
                <w:color w:val="000000"/>
                <w:sz w:val="20"/>
                <w:szCs w:val="20"/>
              </w:rPr>
              <w:t>Relações do modelo</w:t>
            </w:r>
          </w:p>
        </w:tc>
        <w:tc>
          <w:tcPr>
            <w:tcW w:w="851" w:type="dxa"/>
            <w:tcBorders>
              <w:top w:val="single" w:sz="4" w:space="0" w:color="auto"/>
              <w:bottom w:val="single" w:sz="4" w:space="0" w:color="auto"/>
            </w:tcBorders>
            <w:shd w:val="clear" w:color="auto" w:fill="auto"/>
            <w:textDirection w:val="btLr"/>
            <w:vAlign w:val="center"/>
          </w:tcPr>
          <w:p w14:paraId="68B09915" w14:textId="77777777" w:rsidR="00B61AF6" w:rsidRPr="00B61AF6" w:rsidRDefault="00B61AF6" w:rsidP="0096187D">
            <w:pPr>
              <w:spacing w:after="0"/>
              <w:ind w:left="113" w:right="113"/>
              <w:jc w:val="center"/>
              <w:rPr>
                <w:rFonts w:ascii="Garamond" w:hAnsi="Garamond" w:cs="Arial"/>
                <w:bCs/>
                <w:color w:val="000000"/>
                <w:sz w:val="20"/>
                <w:szCs w:val="20"/>
              </w:rPr>
            </w:pPr>
            <w:r w:rsidRPr="00B61AF6">
              <w:rPr>
                <w:rFonts w:ascii="Garamond" w:hAnsi="Garamond" w:cs="Arial"/>
                <w:bCs/>
                <w:color w:val="000000"/>
                <w:sz w:val="20"/>
                <w:szCs w:val="20"/>
              </w:rPr>
              <w:t>VIF</w:t>
            </w:r>
          </w:p>
        </w:tc>
        <w:tc>
          <w:tcPr>
            <w:tcW w:w="851" w:type="dxa"/>
            <w:tcBorders>
              <w:top w:val="single" w:sz="4" w:space="0" w:color="auto"/>
              <w:bottom w:val="single" w:sz="4" w:space="0" w:color="auto"/>
            </w:tcBorders>
            <w:shd w:val="clear" w:color="auto" w:fill="auto"/>
            <w:textDirection w:val="btLr"/>
            <w:vAlign w:val="center"/>
          </w:tcPr>
          <w:p w14:paraId="59EDB0A4" w14:textId="77777777" w:rsidR="00B61AF6" w:rsidRPr="00B61AF6" w:rsidRDefault="00B61AF6" w:rsidP="0096187D">
            <w:pPr>
              <w:spacing w:after="0"/>
              <w:ind w:left="113" w:right="113"/>
              <w:jc w:val="center"/>
              <w:rPr>
                <w:rFonts w:ascii="Garamond" w:hAnsi="Garamond" w:cs="Arial"/>
                <w:bCs/>
                <w:color w:val="000000"/>
                <w:sz w:val="20"/>
                <w:szCs w:val="20"/>
              </w:rPr>
            </w:pPr>
            <w:r w:rsidRPr="00B61AF6">
              <w:rPr>
                <w:rFonts w:ascii="Garamond" w:hAnsi="Garamond" w:cs="Arial"/>
                <w:bCs/>
                <w:color w:val="000000"/>
                <w:sz w:val="20"/>
                <w:szCs w:val="20"/>
              </w:rPr>
              <w:t>f²</w:t>
            </w:r>
          </w:p>
        </w:tc>
        <w:tc>
          <w:tcPr>
            <w:tcW w:w="851" w:type="dxa"/>
            <w:tcBorders>
              <w:top w:val="single" w:sz="4" w:space="0" w:color="auto"/>
              <w:bottom w:val="single" w:sz="4" w:space="0" w:color="auto"/>
            </w:tcBorders>
            <w:shd w:val="clear" w:color="auto" w:fill="auto"/>
            <w:noWrap/>
            <w:textDirection w:val="btLr"/>
            <w:vAlign w:val="center"/>
            <w:hideMark/>
          </w:tcPr>
          <w:p w14:paraId="0E9E60A4" w14:textId="77777777" w:rsidR="00B61AF6" w:rsidRPr="00B61AF6" w:rsidRDefault="00B61AF6" w:rsidP="0096187D">
            <w:pPr>
              <w:spacing w:after="0"/>
              <w:ind w:left="113" w:right="113"/>
              <w:jc w:val="center"/>
              <w:rPr>
                <w:rFonts w:ascii="Garamond" w:hAnsi="Garamond" w:cs="Arial"/>
                <w:bCs/>
                <w:color w:val="000000"/>
                <w:sz w:val="20"/>
                <w:szCs w:val="20"/>
              </w:rPr>
            </w:pPr>
            <w:r w:rsidRPr="00B61AF6">
              <w:rPr>
                <w:rFonts w:ascii="Garamond" w:hAnsi="Garamond" w:cs="Arial"/>
                <w:bCs/>
                <w:color w:val="000000"/>
                <w:sz w:val="20"/>
                <w:szCs w:val="20"/>
              </w:rPr>
              <w:t>Coeficiente estrutura</w:t>
            </w:r>
            <w:r w:rsidRPr="00B61AF6">
              <w:rPr>
                <w:rFonts w:ascii="Garamond" w:hAnsi="Garamond" w:cs="Arial"/>
                <w:bCs/>
                <w:sz w:val="20"/>
                <w:szCs w:val="20"/>
              </w:rPr>
              <w:t>l β</w:t>
            </w:r>
          </w:p>
        </w:tc>
        <w:tc>
          <w:tcPr>
            <w:tcW w:w="849" w:type="dxa"/>
            <w:tcBorders>
              <w:top w:val="single" w:sz="4" w:space="0" w:color="auto"/>
              <w:bottom w:val="single" w:sz="4" w:space="0" w:color="auto"/>
            </w:tcBorders>
            <w:shd w:val="clear" w:color="auto" w:fill="auto"/>
            <w:noWrap/>
            <w:textDirection w:val="btLr"/>
            <w:vAlign w:val="center"/>
            <w:hideMark/>
          </w:tcPr>
          <w:p w14:paraId="6CEE3DFB" w14:textId="77777777" w:rsidR="00B61AF6" w:rsidRPr="00B61AF6" w:rsidRDefault="00B61AF6" w:rsidP="0096187D">
            <w:pPr>
              <w:spacing w:after="0"/>
              <w:ind w:left="113" w:right="113"/>
              <w:jc w:val="center"/>
              <w:rPr>
                <w:rFonts w:ascii="Garamond" w:hAnsi="Garamond" w:cs="Arial"/>
                <w:bCs/>
                <w:color w:val="000000"/>
                <w:sz w:val="20"/>
                <w:szCs w:val="20"/>
              </w:rPr>
            </w:pPr>
            <w:proofErr w:type="spellStart"/>
            <w:r w:rsidRPr="00B61AF6">
              <w:rPr>
                <w:rFonts w:ascii="Garamond" w:hAnsi="Garamond" w:cs="Arial"/>
                <w:bCs/>
                <w:color w:val="000000"/>
                <w:sz w:val="20"/>
                <w:szCs w:val="20"/>
              </w:rPr>
              <w:t>Valor-t</w:t>
            </w:r>
            <w:proofErr w:type="spellEnd"/>
          </w:p>
        </w:tc>
        <w:tc>
          <w:tcPr>
            <w:tcW w:w="1064" w:type="dxa"/>
            <w:tcBorders>
              <w:top w:val="single" w:sz="4" w:space="0" w:color="auto"/>
              <w:bottom w:val="single" w:sz="4" w:space="0" w:color="auto"/>
            </w:tcBorders>
            <w:shd w:val="clear" w:color="auto" w:fill="auto"/>
            <w:noWrap/>
            <w:textDirection w:val="btLr"/>
            <w:vAlign w:val="center"/>
            <w:hideMark/>
          </w:tcPr>
          <w:p w14:paraId="0ACCAE30" w14:textId="77777777" w:rsidR="00B61AF6" w:rsidRPr="00B61AF6" w:rsidRDefault="00B61AF6" w:rsidP="0096187D">
            <w:pPr>
              <w:spacing w:after="0"/>
              <w:ind w:left="113" w:right="113"/>
              <w:jc w:val="center"/>
              <w:rPr>
                <w:rFonts w:ascii="Garamond" w:hAnsi="Garamond" w:cs="Arial"/>
                <w:bCs/>
                <w:color w:val="000000"/>
                <w:sz w:val="20"/>
                <w:szCs w:val="20"/>
              </w:rPr>
            </w:pPr>
            <w:r w:rsidRPr="00B61AF6">
              <w:rPr>
                <w:rFonts w:ascii="Garamond" w:hAnsi="Garamond" w:cs="Arial"/>
                <w:bCs/>
                <w:color w:val="000000"/>
                <w:sz w:val="20"/>
                <w:szCs w:val="20"/>
              </w:rPr>
              <w:t>Valor-p</w:t>
            </w:r>
          </w:p>
        </w:tc>
        <w:tc>
          <w:tcPr>
            <w:tcW w:w="850" w:type="dxa"/>
            <w:tcBorders>
              <w:top w:val="single" w:sz="4" w:space="0" w:color="auto"/>
              <w:bottom w:val="single" w:sz="4" w:space="0" w:color="auto"/>
            </w:tcBorders>
            <w:shd w:val="clear" w:color="auto" w:fill="auto"/>
            <w:textDirection w:val="btLr"/>
            <w:vAlign w:val="center"/>
          </w:tcPr>
          <w:p w14:paraId="69431F68" w14:textId="77777777" w:rsidR="00B61AF6" w:rsidRPr="00B61AF6" w:rsidRDefault="00B61AF6" w:rsidP="0096187D">
            <w:pPr>
              <w:spacing w:after="0"/>
              <w:ind w:left="113" w:right="113"/>
              <w:jc w:val="center"/>
              <w:rPr>
                <w:rFonts w:ascii="Garamond" w:hAnsi="Garamond" w:cs="Arial"/>
                <w:bCs/>
                <w:color w:val="000000"/>
                <w:sz w:val="20"/>
                <w:szCs w:val="20"/>
              </w:rPr>
            </w:pPr>
            <w:r w:rsidRPr="00B61AF6">
              <w:rPr>
                <w:rFonts w:ascii="Garamond" w:hAnsi="Garamond" w:cs="Arial"/>
                <w:bCs/>
                <w:color w:val="000000"/>
                <w:sz w:val="20"/>
                <w:szCs w:val="20"/>
              </w:rPr>
              <w:t>R²</w:t>
            </w:r>
          </w:p>
        </w:tc>
        <w:tc>
          <w:tcPr>
            <w:tcW w:w="1559" w:type="dxa"/>
            <w:tcBorders>
              <w:top w:val="single" w:sz="4" w:space="0" w:color="auto"/>
              <w:bottom w:val="single" w:sz="4" w:space="0" w:color="auto"/>
            </w:tcBorders>
            <w:shd w:val="clear" w:color="auto" w:fill="auto"/>
            <w:textDirection w:val="btLr"/>
            <w:vAlign w:val="center"/>
          </w:tcPr>
          <w:p w14:paraId="4F18CCEB" w14:textId="77777777" w:rsidR="00B61AF6" w:rsidRPr="00B61AF6" w:rsidRDefault="00B61AF6" w:rsidP="0096187D">
            <w:pPr>
              <w:spacing w:after="0"/>
              <w:ind w:left="113" w:right="113"/>
              <w:jc w:val="center"/>
              <w:rPr>
                <w:rFonts w:ascii="Garamond" w:hAnsi="Garamond" w:cs="Arial"/>
                <w:bCs/>
                <w:color w:val="000000"/>
                <w:sz w:val="20"/>
                <w:szCs w:val="20"/>
              </w:rPr>
            </w:pPr>
            <w:r w:rsidRPr="00B61AF6">
              <w:rPr>
                <w:rFonts w:ascii="Garamond" w:hAnsi="Garamond" w:cs="Arial"/>
                <w:bCs/>
                <w:color w:val="000000"/>
                <w:sz w:val="20"/>
                <w:szCs w:val="20"/>
              </w:rPr>
              <w:t>Resultado</w:t>
            </w:r>
          </w:p>
        </w:tc>
      </w:tr>
      <w:tr w:rsidR="00B61AF6" w:rsidRPr="00B61AF6" w14:paraId="187CBFB2" w14:textId="77777777" w:rsidTr="0096187D">
        <w:trPr>
          <w:trHeight w:val="300"/>
        </w:trPr>
        <w:tc>
          <w:tcPr>
            <w:tcW w:w="724" w:type="dxa"/>
            <w:tcBorders>
              <w:top w:val="single" w:sz="4" w:space="0" w:color="auto"/>
            </w:tcBorders>
            <w:shd w:val="clear" w:color="auto" w:fill="auto"/>
            <w:vAlign w:val="center"/>
          </w:tcPr>
          <w:p w14:paraId="3E445E56" w14:textId="77777777" w:rsidR="00B61AF6" w:rsidRPr="00B61AF6" w:rsidRDefault="00B61AF6" w:rsidP="0096187D">
            <w:pPr>
              <w:spacing w:after="0"/>
              <w:jc w:val="center"/>
              <w:rPr>
                <w:rFonts w:ascii="Garamond" w:hAnsi="Garamond" w:cs="Arial"/>
                <w:bCs/>
                <w:color w:val="000000"/>
                <w:sz w:val="20"/>
                <w:szCs w:val="20"/>
              </w:rPr>
            </w:pPr>
            <w:r w:rsidRPr="00B61AF6">
              <w:rPr>
                <w:rFonts w:ascii="Garamond" w:hAnsi="Garamond" w:cs="Arial"/>
                <w:bCs/>
                <w:color w:val="000000"/>
                <w:sz w:val="20"/>
                <w:szCs w:val="20"/>
              </w:rPr>
              <w:t>H1a</w:t>
            </w:r>
          </w:p>
        </w:tc>
        <w:tc>
          <w:tcPr>
            <w:tcW w:w="1701" w:type="dxa"/>
            <w:tcBorders>
              <w:top w:val="single" w:sz="4" w:space="0" w:color="auto"/>
            </w:tcBorders>
            <w:shd w:val="clear" w:color="auto" w:fill="auto"/>
            <w:noWrap/>
            <w:vAlign w:val="center"/>
          </w:tcPr>
          <w:p w14:paraId="5FE3E7E0" w14:textId="77777777" w:rsidR="00B61AF6" w:rsidRPr="00B61AF6" w:rsidRDefault="00B61AF6" w:rsidP="0096187D">
            <w:pPr>
              <w:spacing w:after="0"/>
              <w:rPr>
                <w:rFonts w:ascii="Garamond" w:hAnsi="Garamond" w:cs="Arial"/>
                <w:bCs/>
                <w:color w:val="000000"/>
                <w:sz w:val="20"/>
                <w:szCs w:val="20"/>
              </w:rPr>
            </w:pPr>
            <w:r w:rsidRPr="00B61AF6">
              <w:rPr>
                <w:rFonts w:ascii="Garamond" w:hAnsi="Garamond" w:cs="Arial"/>
                <w:bCs/>
                <w:color w:val="000000"/>
                <w:sz w:val="20"/>
                <w:szCs w:val="20"/>
              </w:rPr>
              <w:t xml:space="preserve">PC -&gt; </w:t>
            </w:r>
            <w:r w:rsidRPr="00B61AF6">
              <w:rPr>
                <w:rFonts w:ascii="Garamond" w:hAnsi="Garamond" w:cs="Arial"/>
                <w:bCs/>
                <w:sz w:val="20"/>
                <w:szCs w:val="20"/>
              </w:rPr>
              <w:t>ST</w:t>
            </w:r>
          </w:p>
        </w:tc>
        <w:tc>
          <w:tcPr>
            <w:tcW w:w="851" w:type="dxa"/>
            <w:tcBorders>
              <w:top w:val="single" w:sz="4" w:space="0" w:color="auto"/>
            </w:tcBorders>
            <w:shd w:val="clear" w:color="auto" w:fill="auto"/>
            <w:vAlign w:val="center"/>
          </w:tcPr>
          <w:p w14:paraId="45436606"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1,290</w:t>
            </w:r>
          </w:p>
        </w:tc>
        <w:tc>
          <w:tcPr>
            <w:tcW w:w="851" w:type="dxa"/>
            <w:tcBorders>
              <w:top w:val="single" w:sz="4" w:space="0" w:color="auto"/>
            </w:tcBorders>
            <w:shd w:val="clear" w:color="auto" w:fill="auto"/>
            <w:vAlign w:val="center"/>
          </w:tcPr>
          <w:p w14:paraId="45ADD25D"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0,036</w:t>
            </w:r>
          </w:p>
        </w:tc>
        <w:tc>
          <w:tcPr>
            <w:tcW w:w="851" w:type="dxa"/>
            <w:tcBorders>
              <w:top w:val="single" w:sz="4" w:space="0" w:color="auto"/>
            </w:tcBorders>
            <w:shd w:val="clear" w:color="auto" w:fill="auto"/>
            <w:noWrap/>
            <w:vAlign w:val="center"/>
          </w:tcPr>
          <w:p w14:paraId="386C1FFD"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-0,200</w:t>
            </w:r>
          </w:p>
        </w:tc>
        <w:tc>
          <w:tcPr>
            <w:tcW w:w="849" w:type="dxa"/>
            <w:tcBorders>
              <w:top w:val="single" w:sz="4" w:space="0" w:color="auto"/>
            </w:tcBorders>
            <w:shd w:val="clear" w:color="auto" w:fill="auto"/>
            <w:noWrap/>
            <w:vAlign w:val="center"/>
          </w:tcPr>
          <w:p w14:paraId="2713FD76"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3,466</w:t>
            </w:r>
          </w:p>
        </w:tc>
        <w:tc>
          <w:tcPr>
            <w:tcW w:w="1064" w:type="dxa"/>
            <w:tcBorders>
              <w:top w:val="single" w:sz="4" w:space="0" w:color="auto"/>
            </w:tcBorders>
            <w:shd w:val="clear" w:color="auto" w:fill="auto"/>
            <w:noWrap/>
            <w:vAlign w:val="center"/>
          </w:tcPr>
          <w:p w14:paraId="44EF5575"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0,001*</w:t>
            </w:r>
          </w:p>
        </w:tc>
        <w:tc>
          <w:tcPr>
            <w:tcW w:w="850" w:type="dxa"/>
            <w:tcBorders>
              <w:top w:val="single" w:sz="4" w:space="0" w:color="auto"/>
            </w:tcBorders>
            <w:shd w:val="clear" w:color="auto" w:fill="auto"/>
            <w:vAlign w:val="center"/>
          </w:tcPr>
          <w:p w14:paraId="2CAE4F2F"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0,430</w:t>
            </w:r>
          </w:p>
        </w:tc>
        <w:tc>
          <w:tcPr>
            <w:tcW w:w="1559" w:type="dxa"/>
            <w:tcBorders>
              <w:top w:val="single" w:sz="4" w:space="0" w:color="auto"/>
            </w:tcBorders>
            <w:shd w:val="clear" w:color="auto" w:fill="auto"/>
            <w:vAlign w:val="center"/>
          </w:tcPr>
          <w:p w14:paraId="36208435" w14:textId="77777777" w:rsidR="00B61AF6" w:rsidRPr="00B61AF6" w:rsidRDefault="00B61AF6" w:rsidP="0096187D">
            <w:pPr>
              <w:spacing w:after="0"/>
              <w:rPr>
                <w:rFonts w:ascii="Garamond" w:hAnsi="Garamond" w:cs="Arial"/>
                <w:bCs/>
                <w:sz w:val="20"/>
                <w:szCs w:val="20"/>
              </w:rPr>
            </w:pPr>
            <w:r w:rsidRPr="00B61AF6">
              <w:rPr>
                <w:rFonts w:ascii="Garamond" w:hAnsi="Garamond" w:cs="Arial"/>
                <w:bCs/>
                <w:sz w:val="20"/>
                <w:szCs w:val="20"/>
              </w:rPr>
              <w:t>Não Suportada</w:t>
            </w:r>
          </w:p>
        </w:tc>
      </w:tr>
      <w:tr w:rsidR="00B61AF6" w:rsidRPr="00B61AF6" w14:paraId="642386F8" w14:textId="77777777" w:rsidTr="0096187D">
        <w:trPr>
          <w:trHeight w:val="300"/>
        </w:trPr>
        <w:tc>
          <w:tcPr>
            <w:tcW w:w="724" w:type="dxa"/>
            <w:shd w:val="clear" w:color="auto" w:fill="auto"/>
            <w:vAlign w:val="center"/>
          </w:tcPr>
          <w:p w14:paraId="04D2CC5C" w14:textId="77777777" w:rsidR="00B61AF6" w:rsidRPr="00B61AF6" w:rsidRDefault="00B61AF6" w:rsidP="0096187D">
            <w:pPr>
              <w:spacing w:after="0"/>
              <w:jc w:val="center"/>
              <w:rPr>
                <w:rFonts w:ascii="Garamond" w:hAnsi="Garamond" w:cs="Arial"/>
                <w:bCs/>
                <w:color w:val="000000"/>
                <w:sz w:val="20"/>
                <w:szCs w:val="20"/>
              </w:rPr>
            </w:pPr>
            <w:r w:rsidRPr="00B61AF6">
              <w:rPr>
                <w:rFonts w:ascii="Garamond" w:hAnsi="Garamond" w:cs="Arial"/>
                <w:bCs/>
                <w:color w:val="000000"/>
                <w:sz w:val="20"/>
                <w:szCs w:val="20"/>
              </w:rPr>
              <w:t>H1b</w:t>
            </w:r>
          </w:p>
        </w:tc>
        <w:tc>
          <w:tcPr>
            <w:tcW w:w="1701" w:type="dxa"/>
            <w:shd w:val="clear" w:color="auto" w:fill="auto"/>
            <w:noWrap/>
            <w:vAlign w:val="center"/>
          </w:tcPr>
          <w:p w14:paraId="25F69DD8" w14:textId="77777777" w:rsidR="00B61AF6" w:rsidRPr="00B61AF6" w:rsidRDefault="00B61AF6" w:rsidP="0096187D">
            <w:pPr>
              <w:spacing w:after="0"/>
              <w:rPr>
                <w:rFonts w:ascii="Garamond" w:hAnsi="Garamond" w:cs="Arial"/>
                <w:bCs/>
                <w:color w:val="000000"/>
                <w:sz w:val="20"/>
                <w:szCs w:val="20"/>
              </w:rPr>
            </w:pPr>
            <w:r w:rsidRPr="00B61AF6">
              <w:rPr>
                <w:rFonts w:ascii="Garamond" w:hAnsi="Garamond" w:cs="Arial"/>
                <w:bCs/>
                <w:color w:val="000000"/>
                <w:sz w:val="20"/>
                <w:szCs w:val="20"/>
              </w:rPr>
              <w:t xml:space="preserve">PC -&gt; </w:t>
            </w:r>
            <w:r w:rsidRPr="00B61AF6">
              <w:rPr>
                <w:rFonts w:ascii="Garamond" w:hAnsi="Garamond" w:cs="Arial"/>
                <w:bCs/>
                <w:sz w:val="20"/>
                <w:szCs w:val="20"/>
              </w:rPr>
              <w:t>SAV</w:t>
            </w:r>
          </w:p>
        </w:tc>
        <w:tc>
          <w:tcPr>
            <w:tcW w:w="851" w:type="dxa"/>
            <w:shd w:val="clear" w:color="auto" w:fill="auto"/>
            <w:vAlign w:val="center"/>
          </w:tcPr>
          <w:p w14:paraId="011238B2"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1,374</w:t>
            </w:r>
          </w:p>
        </w:tc>
        <w:tc>
          <w:tcPr>
            <w:tcW w:w="851" w:type="dxa"/>
            <w:shd w:val="clear" w:color="auto" w:fill="auto"/>
            <w:vAlign w:val="center"/>
          </w:tcPr>
          <w:p w14:paraId="3315B43F"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0,000</w:t>
            </w:r>
          </w:p>
        </w:tc>
        <w:tc>
          <w:tcPr>
            <w:tcW w:w="851" w:type="dxa"/>
            <w:shd w:val="clear" w:color="auto" w:fill="auto"/>
            <w:noWrap/>
            <w:vAlign w:val="center"/>
          </w:tcPr>
          <w:p w14:paraId="62B09579"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0,014</w:t>
            </w:r>
          </w:p>
        </w:tc>
        <w:tc>
          <w:tcPr>
            <w:tcW w:w="849" w:type="dxa"/>
            <w:shd w:val="clear" w:color="auto" w:fill="auto"/>
            <w:noWrap/>
            <w:vAlign w:val="center"/>
          </w:tcPr>
          <w:p w14:paraId="2B633E54"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0,230</w:t>
            </w:r>
          </w:p>
        </w:tc>
        <w:tc>
          <w:tcPr>
            <w:tcW w:w="1064" w:type="dxa"/>
            <w:shd w:val="clear" w:color="auto" w:fill="auto"/>
            <w:noWrap/>
            <w:vAlign w:val="center"/>
          </w:tcPr>
          <w:p w14:paraId="195AE5F3"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0,818</w:t>
            </w:r>
          </w:p>
        </w:tc>
        <w:tc>
          <w:tcPr>
            <w:tcW w:w="850" w:type="dxa"/>
            <w:shd w:val="clear" w:color="auto" w:fill="auto"/>
            <w:vAlign w:val="center"/>
          </w:tcPr>
          <w:p w14:paraId="4F344F0D"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0,240</w:t>
            </w:r>
          </w:p>
        </w:tc>
        <w:tc>
          <w:tcPr>
            <w:tcW w:w="1559" w:type="dxa"/>
            <w:shd w:val="clear" w:color="auto" w:fill="auto"/>
            <w:vAlign w:val="center"/>
          </w:tcPr>
          <w:p w14:paraId="24C99345" w14:textId="77777777" w:rsidR="00B61AF6" w:rsidRPr="00B61AF6" w:rsidRDefault="00B61AF6" w:rsidP="0096187D">
            <w:pPr>
              <w:spacing w:after="0"/>
              <w:rPr>
                <w:rFonts w:ascii="Garamond" w:hAnsi="Garamond" w:cs="Arial"/>
                <w:bCs/>
                <w:sz w:val="20"/>
                <w:szCs w:val="20"/>
              </w:rPr>
            </w:pPr>
            <w:r w:rsidRPr="00B61AF6">
              <w:rPr>
                <w:rFonts w:ascii="Garamond" w:hAnsi="Garamond" w:cs="Arial"/>
                <w:bCs/>
                <w:sz w:val="20"/>
                <w:szCs w:val="20"/>
              </w:rPr>
              <w:t>Não suportada</w:t>
            </w:r>
          </w:p>
        </w:tc>
      </w:tr>
      <w:tr w:rsidR="00B61AF6" w:rsidRPr="00B61AF6" w14:paraId="2D98061B" w14:textId="77777777" w:rsidTr="0096187D">
        <w:trPr>
          <w:trHeight w:val="300"/>
        </w:trPr>
        <w:tc>
          <w:tcPr>
            <w:tcW w:w="724" w:type="dxa"/>
            <w:shd w:val="clear" w:color="auto" w:fill="EEECE1" w:themeFill="background2"/>
            <w:vAlign w:val="center"/>
          </w:tcPr>
          <w:p w14:paraId="41FDCE2E" w14:textId="77777777" w:rsidR="00B61AF6" w:rsidRPr="00B61AF6" w:rsidRDefault="00B61AF6" w:rsidP="0096187D">
            <w:pPr>
              <w:spacing w:after="0"/>
              <w:jc w:val="center"/>
              <w:rPr>
                <w:rFonts w:ascii="Garamond" w:hAnsi="Garamond" w:cs="Arial"/>
                <w:bCs/>
                <w:color w:val="000000"/>
                <w:sz w:val="20"/>
                <w:szCs w:val="20"/>
              </w:rPr>
            </w:pPr>
            <w:r w:rsidRPr="00B61AF6">
              <w:rPr>
                <w:rFonts w:ascii="Garamond" w:hAnsi="Garamond" w:cs="Arial"/>
                <w:bCs/>
                <w:color w:val="000000"/>
                <w:sz w:val="20"/>
                <w:szCs w:val="20"/>
              </w:rPr>
              <w:t>H1c</w:t>
            </w:r>
          </w:p>
        </w:tc>
        <w:tc>
          <w:tcPr>
            <w:tcW w:w="1701" w:type="dxa"/>
            <w:shd w:val="clear" w:color="auto" w:fill="EEECE1" w:themeFill="background2"/>
            <w:noWrap/>
            <w:vAlign w:val="center"/>
          </w:tcPr>
          <w:p w14:paraId="40DB9EBE" w14:textId="77777777" w:rsidR="00B61AF6" w:rsidRPr="00B61AF6" w:rsidRDefault="00B61AF6" w:rsidP="0096187D">
            <w:pPr>
              <w:spacing w:after="0"/>
              <w:rPr>
                <w:rFonts w:ascii="Garamond" w:hAnsi="Garamond" w:cs="Arial"/>
                <w:bCs/>
                <w:color w:val="000000"/>
                <w:sz w:val="20"/>
                <w:szCs w:val="20"/>
              </w:rPr>
            </w:pPr>
            <w:r w:rsidRPr="00B61AF6">
              <w:rPr>
                <w:rFonts w:ascii="Garamond" w:hAnsi="Garamond" w:cs="Arial"/>
                <w:bCs/>
                <w:color w:val="000000"/>
                <w:sz w:val="20"/>
                <w:szCs w:val="20"/>
              </w:rPr>
              <w:t xml:space="preserve">PC -&gt; </w:t>
            </w:r>
            <w:r w:rsidRPr="00B61AF6">
              <w:rPr>
                <w:rFonts w:ascii="Garamond" w:hAnsi="Garamond" w:cs="Arial"/>
                <w:bCs/>
                <w:sz w:val="20"/>
                <w:szCs w:val="20"/>
              </w:rPr>
              <w:t>SIV</w:t>
            </w:r>
          </w:p>
        </w:tc>
        <w:tc>
          <w:tcPr>
            <w:tcW w:w="851" w:type="dxa"/>
            <w:shd w:val="clear" w:color="auto" w:fill="EEECE1" w:themeFill="background2"/>
            <w:vAlign w:val="center"/>
          </w:tcPr>
          <w:p w14:paraId="4465A54E"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1,000</w:t>
            </w:r>
          </w:p>
        </w:tc>
        <w:tc>
          <w:tcPr>
            <w:tcW w:w="851" w:type="dxa"/>
            <w:shd w:val="clear" w:color="auto" w:fill="EEECE1" w:themeFill="background2"/>
            <w:vAlign w:val="center"/>
          </w:tcPr>
          <w:p w14:paraId="0A8389B7"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0,054</w:t>
            </w:r>
          </w:p>
        </w:tc>
        <w:tc>
          <w:tcPr>
            <w:tcW w:w="851" w:type="dxa"/>
            <w:shd w:val="clear" w:color="auto" w:fill="EEECE1" w:themeFill="background2"/>
            <w:noWrap/>
            <w:vAlign w:val="center"/>
          </w:tcPr>
          <w:p w14:paraId="7346E5ED"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0,266</w:t>
            </w:r>
          </w:p>
        </w:tc>
        <w:tc>
          <w:tcPr>
            <w:tcW w:w="849" w:type="dxa"/>
            <w:shd w:val="clear" w:color="auto" w:fill="EEECE1" w:themeFill="background2"/>
            <w:noWrap/>
            <w:vAlign w:val="center"/>
          </w:tcPr>
          <w:p w14:paraId="01EFBB00"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4,399</w:t>
            </w:r>
          </w:p>
        </w:tc>
        <w:tc>
          <w:tcPr>
            <w:tcW w:w="1064" w:type="dxa"/>
            <w:shd w:val="clear" w:color="auto" w:fill="EEECE1" w:themeFill="background2"/>
            <w:noWrap/>
            <w:vAlign w:val="center"/>
          </w:tcPr>
          <w:p w14:paraId="64E592E4"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0,000*</w:t>
            </w:r>
          </w:p>
        </w:tc>
        <w:tc>
          <w:tcPr>
            <w:tcW w:w="850" w:type="dxa"/>
            <w:shd w:val="clear" w:color="auto" w:fill="EEECE1" w:themeFill="background2"/>
            <w:vAlign w:val="center"/>
          </w:tcPr>
          <w:p w14:paraId="56410EE5"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0,278</w:t>
            </w:r>
          </w:p>
        </w:tc>
        <w:tc>
          <w:tcPr>
            <w:tcW w:w="1559" w:type="dxa"/>
            <w:shd w:val="clear" w:color="auto" w:fill="EEECE1" w:themeFill="background2"/>
            <w:vAlign w:val="center"/>
          </w:tcPr>
          <w:p w14:paraId="18E53E69" w14:textId="77777777" w:rsidR="00B61AF6" w:rsidRPr="00B61AF6" w:rsidRDefault="00B61AF6" w:rsidP="0096187D">
            <w:pPr>
              <w:spacing w:after="0"/>
              <w:rPr>
                <w:rFonts w:ascii="Garamond" w:hAnsi="Garamond" w:cs="Arial"/>
                <w:bCs/>
                <w:sz w:val="20"/>
                <w:szCs w:val="20"/>
              </w:rPr>
            </w:pPr>
            <w:r w:rsidRPr="00B61AF6">
              <w:rPr>
                <w:rFonts w:ascii="Garamond" w:hAnsi="Garamond" w:cs="Arial"/>
                <w:bCs/>
                <w:sz w:val="20"/>
                <w:szCs w:val="20"/>
              </w:rPr>
              <w:t>Suportada</w:t>
            </w:r>
          </w:p>
        </w:tc>
      </w:tr>
      <w:tr w:rsidR="00B61AF6" w:rsidRPr="00B61AF6" w14:paraId="7DA57366" w14:textId="77777777" w:rsidTr="0096187D">
        <w:trPr>
          <w:trHeight w:val="300"/>
        </w:trPr>
        <w:tc>
          <w:tcPr>
            <w:tcW w:w="724" w:type="dxa"/>
            <w:shd w:val="clear" w:color="auto" w:fill="auto"/>
            <w:vAlign w:val="center"/>
          </w:tcPr>
          <w:p w14:paraId="3C2F09FC" w14:textId="77777777" w:rsidR="00B61AF6" w:rsidRPr="00B61AF6" w:rsidRDefault="00B61AF6" w:rsidP="0096187D">
            <w:pPr>
              <w:spacing w:after="0"/>
              <w:jc w:val="center"/>
              <w:rPr>
                <w:rFonts w:ascii="Garamond" w:hAnsi="Garamond" w:cs="Arial"/>
                <w:bCs/>
                <w:color w:val="000000"/>
                <w:sz w:val="20"/>
                <w:szCs w:val="20"/>
              </w:rPr>
            </w:pPr>
            <w:r w:rsidRPr="00B61AF6">
              <w:rPr>
                <w:rFonts w:ascii="Garamond" w:hAnsi="Garamond" w:cs="Arial"/>
                <w:bCs/>
                <w:color w:val="000000"/>
                <w:sz w:val="20"/>
                <w:szCs w:val="20"/>
              </w:rPr>
              <w:t>H1d</w:t>
            </w:r>
          </w:p>
        </w:tc>
        <w:tc>
          <w:tcPr>
            <w:tcW w:w="1701" w:type="dxa"/>
            <w:shd w:val="clear" w:color="auto" w:fill="auto"/>
            <w:noWrap/>
            <w:vAlign w:val="center"/>
          </w:tcPr>
          <w:p w14:paraId="739EC9A8" w14:textId="77777777" w:rsidR="00B61AF6" w:rsidRPr="00B61AF6" w:rsidRDefault="00B61AF6" w:rsidP="0096187D">
            <w:pPr>
              <w:spacing w:after="0"/>
              <w:rPr>
                <w:rFonts w:ascii="Garamond" w:hAnsi="Garamond" w:cs="Arial"/>
                <w:bCs/>
                <w:color w:val="000000"/>
                <w:sz w:val="20"/>
                <w:szCs w:val="20"/>
              </w:rPr>
            </w:pPr>
            <w:r w:rsidRPr="00B61AF6">
              <w:rPr>
                <w:rFonts w:ascii="Garamond" w:hAnsi="Garamond" w:cs="Arial"/>
                <w:bCs/>
                <w:color w:val="000000"/>
                <w:sz w:val="20"/>
                <w:szCs w:val="20"/>
              </w:rPr>
              <w:t xml:space="preserve">PC -&gt; </w:t>
            </w:r>
            <w:r w:rsidRPr="00B61AF6">
              <w:rPr>
                <w:rFonts w:ascii="Garamond" w:hAnsi="Garamond" w:cs="Arial"/>
                <w:bCs/>
                <w:sz w:val="20"/>
                <w:szCs w:val="20"/>
              </w:rPr>
              <w:t>BE</w:t>
            </w:r>
          </w:p>
        </w:tc>
        <w:tc>
          <w:tcPr>
            <w:tcW w:w="851" w:type="dxa"/>
            <w:shd w:val="clear" w:color="auto" w:fill="auto"/>
            <w:vAlign w:val="center"/>
          </w:tcPr>
          <w:p w14:paraId="2DAB2C51"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1,374</w:t>
            </w:r>
          </w:p>
        </w:tc>
        <w:tc>
          <w:tcPr>
            <w:tcW w:w="851" w:type="dxa"/>
            <w:shd w:val="clear" w:color="auto" w:fill="auto"/>
            <w:vAlign w:val="center"/>
          </w:tcPr>
          <w:p w14:paraId="1ACFE3B0"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0,000</w:t>
            </w:r>
          </w:p>
        </w:tc>
        <w:tc>
          <w:tcPr>
            <w:tcW w:w="851" w:type="dxa"/>
            <w:shd w:val="clear" w:color="auto" w:fill="auto"/>
            <w:noWrap/>
            <w:vAlign w:val="center"/>
          </w:tcPr>
          <w:p w14:paraId="345E9C9F"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-0,020</w:t>
            </w:r>
          </w:p>
        </w:tc>
        <w:tc>
          <w:tcPr>
            <w:tcW w:w="849" w:type="dxa"/>
            <w:shd w:val="clear" w:color="auto" w:fill="auto"/>
            <w:noWrap/>
            <w:vAlign w:val="center"/>
          </w:tcPr>
          <w:p w14:paraId="2CAB56C1"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0,307</w:t>
            </w:r>
          </w:p>
        </w:tc>
        <w:tc>
          <w:tcPr>
            <w:tcW w:w="1064" w:type="dxa"/>
            <w:shd w:val="clear" w:color="auto" w:fill="auto"/>
            <w:noWrap/>
            <w:vAlign w:val="center"/>
          </w:tcPr>
          <w:p w14:paraId="442BFF88"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0,759</w:t>
            </w:r>
          </w:p>
        </w:tc>
        <w:tc>
          <w:tcPr>
            <w:tcW w:w="850" w:type="dxa"/>
            <w:shd w:val="clear" w:color="auto" w:fill="auto"/>
            <w:vAlign w:val="center"/>
          </w:tcPr>
          <w:p w14:paraId="66F6E0F1"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0,108</w:t>
            </w:r>
          </w:p>
        </w:tc>
        <w:tc>
          <w:tcPr>
            <w:tcW w:w="1559" w:type="dxa"/>
            <w:shd w:val="clear" w:color="auto" w:fill="auto"/>
            <w:vAlign w:val="center"/>
          </w:tcPr>
          <w:p w14:paraId="282063E8" w14:textId="77777777" w:rsidR="00B61AF6" w:rsidRPr="00B61AF6" w:rsidRDefault="00B61AF6" w:rsidP="0096187D">
            <w:pPr>
              <w:spacing w:after="0"/>
              <w:rPr>
                <w:rFonts w:ascii="Garamond" w:hAnsi="Garamond" w:cs="Arial"/>
                <w:bCs/>
                <w:sz w:val="20"/>
                <w:szCs w:val="20"/>
              </w:rPr>
            </w:pPr>
            <w:r w:rsidRPr="00B61AF6">
              <w:rPr>
                <w:rFonts w:ascii="Garamond" w:hAnsi="Garamond" w:cs="Arial"/>
                <w:bCs/>
                <w:sz w:val="20"/>
                <w:szCs w:val="20"/>
              </w:rPr>
              <w:t>Não suportada</w:t>
            </w:r>
          </w:p>
        </w:tc>
      </w:tr>
      <w:tr w:rsidR="00B61AF6" w:rsidRPr="00B61AF6" w14:paraId="5D3F6CC9" w14:textId="77777777" w:rsidTr="0096187D">
        <w:trPr>
          <w:trHeight w:val="300"/>
        </w:trPr>
        <w:tc>
          <w:tcPr>
            <w:tcW w:w="724" w:type="dxa"/>
            <w:shd w:val="clear" w:color="auto" w:fill="auto"/>
            <w:vAlign w:val="center"/>
          </w:tcPr>
          <w:p w14:paraId="4F491221" w14:textId="77777777" w:rsidR="00B61AF6" w:rsidRPr="00B61AF6" w:rsidRDefault="00B61AF6" w:rsidP="0096187D">
            <w:pPr>
              <w:spacing w:after="0"/>
              <w:jc w:val="center"/>
              <w:rPr>
                <w:rFonts w:ascii="Garamond" w:hAnsi="Garamond" w:cs="Arial"/>
                <w:bCs/>
                <w:color w:val="000000"/>
                <w:sz w:val="20"/>
                <w:szCs w:val="20"/>
              </w:rPr>
            </w:pPr>
            <w:r w:rsidRPr="00B61AF6">
              <w:rPr>
                <w:rFonts w:ascii="Garamond" w:hAnsi="Garamond" w:cs="Arial"/>
                <w:bCs/>
                <w:color w:val="000000"/>
                <w:sz w:val="20"/>
                <w:szCs w:val="20"/>
              </w:rPr>
              <w:t>H1e</w:t>
            </w:r>
          </w:p>
        </w:tc>
        <w:tc>
          <w:tcPr>
            <w:tcW w:w="1701" w:type="dxa"/>
            <w:shd w:val="clear" w:color="auto" w:fill="auto"/>
            <w:noWrap/>
            <w:vAlign w:val="center"/>
          </w:tcPr>
          <w:p w14:paraId="4149626A" w14:textId="77777777" w:rsidR="00B61AF6" w:rsidRPr="00B61AF6" w:rsidRDefault="00B61AF6" w:rsidP="0096187D">
            <w:pPr>
              <w:spacing w:after="0"/>
              <w:rPr>
                <w:rFonts w:ascii="Garamond" w:hAnsi="Garamond" w:cs="Arial"/>
                <w:bCs/>
                <w:color w:val="000000"/>
                <w:sz w:val="20"/>
                <w:szCs w:val="20"/>
              </w:rPr>
            </w:pPr>
            <w:r w:rsidRPr="00B61AF6">
              <w:rPr>
                <w:rFonts w:ascii="Garamond" w:hAnsi="Garamond" w:cs="Arial"/>
                <w:bCs/>
                <w:color w:val="000000"/>
                <w:sz w:val="20"/>
                <w:szCs w:val="20"/>
              </w:rPr>
              <w:t xml:space="preserve">PC -&gt; </w:t>
            </w:r>
            <w:r w:rsidRPr="00B61AF6">
              <w:rPr>
                <w:rFonts w:ascii="Garamond" w:hAnsi="Garamond" w:cs="Arial"/>
                <w:bCs/>
                <w:sz w:val="20"/>
                <w:szCs w:val="20"/>
              </w:rPr>
              <w:t>CC</w:t>
            </w:r>
          </w:p>
        </w:tc>
        <w:tc>
          <w:tcPr>
            <w:tcW w:w="851" w:type="dxa"/>
            <w:shd w:val="clear" w:color="auto" w:fill="auto"/>
            <w:vAlign w:val="center"/>
          </w:tcPr>
          <w:p w14:paraId="375161F6"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1,320</w:t>
            </w:r>
          </w:p>
        </w:tc>
        <w:tc>
          <w:tcPr>
            <w:tcW w:w="851" w:type="dxa"/>
            <w:shd w:val="clear" w:color="auto" w:fill="auto"/>
            <w:vAlign w:val="center"/>
          </w:tcPr>
          <w:p w14:paraId="4827F1F5"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0,008</w:t>
            </w:r>
          </w:p>
        </w:tc>
        <w:tc>
          <w:tcPr>
            <w:tcW w:w="851" w:type="dxa"/>
            <w:shd w:val="clear" w:color="auto" w:fill="auto"/>
            <w:noWrap/>
            <w:vAlign w:val="center"/>
          </w:tcPr>
          <w:p w14:paraId="3F7A2ACE"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-0,088</w:t>
            </w:r>
          </w:p>
        </w:tc>
        <w:tc>
          <w:tcPr>
            <w:tcW w:w="849" w:type="dxa"/>
            <w:shd w:val="clear" w:color="auto" w:fill="auto"/>
            <w:noWrap/>
            <w:vAlign w:val="center"/>
          </w:tcPr>
          <w:p w14:paraId="4CC902C4"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1,887</w:t>
            </w:r>
          </w:p>
        </w:tc>
        <w:tc>
          <w:tcPr>
            <w:tcW w:w="1064" w:type="dxa"/>
            <w:shd w:val="clear" w:color="auto" w:fill="auto"/>
            <w:noWrap/>
            <w:vAlign w:val="center"/>
          </w:tcPr>
          <w:p w14:paraId="567C028D"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0,059</w:t>
            </w:r>
          </w:p>
        </w:tc>
        <w:tc>
          <w:tcPr>
            <w:tcW w:w="850" w:type="dxa"/>
            <w:shd w:val="clear" w:color="auto" w:fill="auto"/>
            <w:vAlign w:val="center"/>
          </w:tcPr>
          <w:p w14:paraId="6E7AC3E5"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0,436</w:t>
            </w:r>
          </w:p>
        </w:tc>
        <w:tc>
          <w:tcPr>
            <w:tcW w:w="1559" w:type="dxa"/>
            <w:shd w:val="clear" w:color="auto" w:fill="auto"/>
            <w:vAlign w:val="center"/>
          </w:tcPr>
          <w:p w14:paraId="76BA1EE0" w14:textId="77777777" w:rsidR="00B61AF6" w:rsidRPr="00B61AF6" w:rsidRDefault="00B61AF6" w:rsidP="0096187D">
            <w:pPr>
              <w:spacing w:after="0"/>
              <w:rPr>
                <w:rFonts w:ascii="Garamond" w:hAnsi="Garamond" w:cs="Arial"/>
                <w:bCs/>
                <w:sz w:val="20"/>
                <w:szCs w:val="20"/>
              </w:rPr>
            </w:pPr>
            <w:r w:rsidRPr="00B61AF6">
              <w:rPr>
                <w:rFonts w:ascii="Garamond" w:hAnsi="Garamond" w:cs="Arial"/>
                <w:bCs/>
                <w:sz w:val="20"/>
                <w:szCs w:val="20"/>
              </w:rPr>
              <w:t>Não Suportada</w:t>
            </w:r>
          </w:p>
        </w:tc>
      </w:tr>
      <w:tr w:rsidR="00B61AF6" w:rsidRPr="00B61AF6" w14:paraId="3B679E7D" w14:textId="77777777" w:rsidTr="0096187D">
        <w:trPr>
          <w:trHeight w:val="300"/>
        </w:trPr>
        <w:tc>
          <w:tcPr>
            <w:tcW w:w="724" w:type="dxa"/>
            <w:shd w:val="clear" w:color="auto" w:fill="D9D9D9" w:themeFill="background1" w:themeFillShade="D9"/>
            <w:vAlign w:val="center"/>
          </w:tcPr>
          <w:p w14:paraId="653D4D22" w14:textId="77777777" w:rsidR="00B61AF6" w:rsidRPr="00B61AF6" w:rsidRDefault="00B61AF6" w:rsidP="0096187D">
            <w:pPr>
              <w:spacing w:after="0"/>
              <w:jc w:val="center"/>
              <w:rPr>
                <w:rFonts w:ascii="Garamond" w:hAnsi="Garamond" w:cs="Arial"/>
                <w:bCs/>
                <w:color w:val="000000"/>
                <w:sz w:val="20"/>
                <w:szCs w:val="20"/>
              </w:rPr>
            </w:pPr>
            <w:r w:rsidRPr="00B61AF6">
              <w:rPr>
                <w:rFonts w:ascii="Garamond" w:hAnsi="Garamond" w:cs="Arial"/>
                <w:bCs/>
                <w:color w:val="000000"/>
                <w:sz w:val="20"/>
                <w:szCs w:val="20"/>
              </w:rPr>
              <w:t>H2a</w:t>
            </w:r>
          </w:p>
        </w:tc>
        <w:tc>
          <w:tcPr>
            <w:tcW w:w="1701" w:type="dxa"/>
            <w:shd w:val="clear" w:color="auto" w:fill="D9D9D9" w:themeFill="background1" w:themeFillShade="D9"/>
            <w:noWrap/>
            <w:vAlign w:val="center"/>
          </w:tcPr>
          <w:p w14:paraId="7BC503B0" w14:textId="77777777" w:rsidR="00B61AF6" w:rsidRPr="00B61AF6" w:rsidRDefault="00B61AF6" w:rsidP="0096187D">
            <w:pPr>
              <w:spacing w:after="0"/>
              <w:rPr>
                <w:rFonts w:ascii="Garamond" w:hAnsi="Garamond" w:cs="Arial"/>
                <w:bCs/>
                <w:color w:val="000000"/>
                <w:sz w:val="20"/>
                <w:szCs w:val="20"/>
              </w:rPr>
            </w:pPr>
            <w:r w:rsidRPr="00B61AF6">
              <w:rPr>
                <w:rFonts w:ascii="Garamond" w:hAnsi="Garamond" w:cs="Arial"/>
                <w:bCs/>
                <w:color w:val="000000"/>
                <w:sz w:val="20"/>
                <w:szCs w:val="20"/>
              </w:rPr>
              <w:t xml:space="preserve">VC -&gt; PC -&gt; </w:t>
            </w:r>
            <w:r w:rsidRPr="00B61AF6">
              <w:rPr>
                <w:rFonts w:ascii="Garamond" w:hAnsi="Garamond" w:cs="Arial"/>
                <w:bCs/>
                <w:sz w:val="20"/>
                <w:szCs w:val="20"/>
              </w:rPr>
              <w:t>ST</w:t>
            </w:r>
          </w:p>
        </w:tc>
        <w:tc>
          <w:tcPr>
            <w:tcW w:w="851" w:type="dxa"/>
            <w:shd w:val="clear" w:color="auto" w:fill="D9D9D9" w:themeFill="background1" w:themeFillShade="D9"/>
            <w:vAlign w:val="center"/>
          </w:tcPr>
          <w:p w14:paraId="502B7E2F"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w:t>
            </w:r>
          </w:p>
        </w:tc>
        <w:tc>
          <w:tcPr>
            <w:tcW w:w="851" w:type="dxa"/>
            <w:shd w:val="clear" w:color="auto" w:fill="D9D9D9" w:themeFill="background1" w:themeFillShade="D9"/>
            <w:vAlign w:val="center"/>
          </w:tcPr>
          <w:p w14:paraId="2F94A5AB"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0,069</w:t>
            </w:r>
          </w:p>
        </w:tc>
        <w:tc>
          <w:tcPr>
            <w:tcW w:w="851" w:type="dxa"/>
            <w:shd w:val="clear" w:color="auto" w:fill="D9D9D9" w:themeFill="background1" w:themeFillShade="D9"/>
            <w:noWrap/>
            <w:vAlign w:val="center"/>
          </w:tcPr>
          <w:p w14:paraId="74A46DBB"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0,182</w:t>
            </w:r>
          </w:p>
        </w:tc>
        <w:tc>
          <w:tcPr>
            <w:tcW w:w="849" w:type="dxa"/>
            <w:shd w:val="clear" w:color="auto" w:fill="D9D9D9" w:themeFill="background1" w:themeFillShade="D9"/>
            <w:noWrap/>
            <w:vAlign w:val="center"/>
          </w:tcPr>
          <w:p w14:paraId="63128C41"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4,943</w:t>
            </w:r>
          </w:p>
        </w:tc>
        <w:tc>
          <w:tcPr>
            <w:tcW w:w="1064" w:type="dxa"/>
            <w:shd w:val="clear" w:color="auto" w:fill="D9D9D9" w:themeFill="background1" w:themeFillShade="D9"/>
            <w:noWrap/>
            <w:vAlign w:val="center"/>
          </w:tcPr>
          <w:p w14:paraId="599B740D"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0,000*</w:t>
            </w:r>
          </w:p>
        </w:tc>
        <w:tc>
          <w:tcPr>
            <w:tcW w:w="850" w:type="dxa"/>
            <w:shd w:val="clear" w:color="auto" w:fill="D9D9D9" w:themeFill="background1" w:themeFillShade="D9"/>
            <w:vAlign w:val="center"/>
          </w:tcPr>
          <w:p w14:paraId="3BBFF9C7"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w:t>
            </w:r>
          </w:p>
        </w:tc>
        <w:tc>
          <w:tcPr>
            <w:tcW w:w="1559" w:type="dxa"/>
            <w:shd w:val="clear" w:color="auto" w:fill="D9D9D9" w:themeFill="background1" w:themeFillShade="D9"/>
            <w:vAlign w:val="center"/>
          </w:tcPr>
          <w:p w14:paraId="4EDE2614" w14:textId="77777777" w:rsidR="00B61AF6" w:rsidRPr="00B61AF6" w:rsidRDefault="00B61AF6" w:rsidP="0096187D">
            <w:pPr>
              <w:spacing w:after="0"/>
              <w:rPr>
                <w:rFonts w:ascii="Garamond" w:hAnsi="Garamond" w:cs="Arial"/>
                <w:bCs/>
                <w:sz w:val="20"/>
                <w:szCs w:val="20"/>
              </w:rPr>
            </w:pPr>
            <w:r w:rsidRPr="00B61AF6">
              <w:rPr>
                <w:rFonts w:ascii="Garamond" w:hAnsi="Garamond" w:cs="Arial"/>
                <w:bCs/>
                <w:sz w:val="20"/>
                <w:szCs w:val="20"/>
              </w:rPr>
              <w:t>Suportada</w:t>
            </w:r>
          </w:p>
        </w:tc>
      </w:tr>
      <w:tr w:rsidR="00B61AF6" w:rsidRPr="00B61AF6" w14:paraId="06BC7A35" w14:textId="77777777" w:rsidTr="0096187D">
        <w:trPr>
          <w:trHeight w:val="300"/>
        </w:trPr>
        <w:tc>
          <w:tcPr>
            <w:tcW w:w="724" w:type="dxa"/>
            <w:shd w:val="clear" w:color="auto" w:fill="D9D9D9" w:themeFill="background1" w:themeFillShade="D9"/>
            <w:vAlign w:val="center"/>
          </w:tcPr>
          <w:p w14:paraId="1137F75B" w14:textId="77777777" w:rsidR="00B61AF6" w:rsidRPr="00B61AF6" w:rsidRDefault="00B61AF6" w:rsidP="0096187D">
            <w:pPr>
              <w:spacing w:after="0"/>
              <w:jc w:val="center"/>
              <w:rPr>
                <w:rFonts w:ascii="Garamond" w:hAnsi="Garamond" w:cs="Arial"/>
                <w:bCs/>
                <w:color w:val="000000"/>
                <w:sz w:val="20"/>
                <w:szCs w:val="20"/>
              </w:rPr>
            </w:pPr>
            <w:r w:rsidRPr="00B61AF6">
              <w:rPr>
                <w:rFonts w:ascii="Garamond" w:hAnsi="Garamond" w:cs="Arial"/>
                <w:bCs/>
                <w:color w:val="000000"/>
                <w:sz w:val="20"/>
                <w:szCs w:val="20"/>
              </w:rPr>
              <w:t>H2b</w:t>
            </w:r>
          </w:p>
        </w:tc>
        <w:tc>
          <w:tcPr>
            <w:tcW w:w="1701" w:type="dxa"/>
            <w:shd w:val="clear" w:color="auto" w:fill="D9D9D9" w:themeFill="background1" w:themeFillShade="D9"/>
            <w:noWrap/>
            <w:vAlign w:val="center"/>
          </w:tcPr>
          <w:p w14:paraId="2B191EA6" w14:textId="77777777" w:rsidR="00B61AF6" w:rsidRPr="00B61AF6" w:rsidRDefault="00B61AF6" w:rsidP="0096187D">
            <w:pPr>
              <w:spacing w:after="0"/>
              <w:rPr>
                <w:rFonts w:ascii="Garamond" w:hAnsi="Garamond" w:cs="Arial"/>
                <w:bCs/>
                <w:color w:val="000000"/>
                <w:sz w:val="20"/>
                <w:szCs w:val="20"/>
              </w:rPr>
            </w:pPr>
            <w:r w:rsidRPr="00B61AF6">
              <w:rPr>
                <w:rFonts w:ascii="Garamond" w:hAnsi="Garamond" w:cs="Arial"/>
                <w:bCs/>
                <w:color w:val="000000"/>
                <w:sz w:val="20"/>
                <w:szCs w:val="20"/>
              </w:rPr>
              <w:t xml:space="preserve">VC -&gt; PC -&gt; </w:t>
            </w:r>
            <w:r w:rsidRPr="00B61AF6">
              <w:rPr>
                <w:rFonts w:ascii="Garamond" w:hAnsi="Garamond" w:cs="Arial"/>
                <w:bCs/>
                <w:sz w:val="20"/>
                <w:szCs w:val="20"/>
              </w:rPr>
              <w:t>SAV</w:t>
            </w:r>
          </w:p>
        </w:tc>
        <w:tc>
          <w:tcPr>
            <w:tcW w:w="851" w:type="dxa"/>
            <w:shd w:val="clear" w:color="auto" w:fill="D9D9D9" w:themeFill="background1" w:themeFillShade="D9"/>
            <w:vAlign w:val="center"/>
          </w:tcPr>
          <w:p w14:paraId="7DB98FCE"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w:t>
            </w:r>
          </w:p>
        </w:tc>
        <w:tc>
          <w:tcPr>
            <w:tcW w:w="851" w:type="dxa"/>
            <w:shd w:val="clear" w:color="auto" w:fill="D9D9D9" w:themeFill="background1" w:themeFillShade="D9"/>
            <w:vAlign w:val="center"/>
          </w:tcPr>
          <w:p w14:paraId="52CED94E"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0,020</w:t>
            </w:r>
          </w:p>
        </w:tc>
        <w:tc>
          <w:tcPr>
            <w:tcW w:w="851" w:type="dxa"/>
            <w:shd w:val="clear" w:color="auto" w:fill="D9D9D9" w:themeFill="background1" w:themeFillShade="D9"/>
            <w:noWrap/>
            <w:vAlign w:val="center"/>
          </w:tcPr>
          <w:p w14:paraId="64736EC2"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0,113</w:t>
            </w:r>
          </w:p>
        </w:tc>
        <w:tc>
          <w:tcPr>
            <w:tcW w:w="849" w:type="dxa"/>
            <w:shd w:val="clear" w:color="auto" w:fill="D9D9D9" w:themeFill="background1" w:themeFillShade="D9"/>
            <w:noWrap/>
            <w:vAlign w:val="center"/>
          </w:tcPr>
          <w:p w14:paraId="3B6CF81F"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3,382</w:t>
            </w:r>
          </w:p>
        </w:tc>
        <w:tc>
          <w:tcPr>
            <w:tcW w:w="1064" w:type="dxa"/>
            <w:shd w:val="clear" w:color="auto" w:fill="D9D9D9" w:themeFill="background1" w:themeFillShade="D9"/>
            <w:noWrap/>
            <w:vAlign w:val="center"/>
          </w:tcPr>
          <w:p w14:paraId="5E778976"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0,001*</w:t>
            </w:r>
          </w:p>
        </w:tc>
        <w:tc>
          <w:tcPr>
            <w:tcW w:w="850" w:type="dxa"/>
            <w:shd w:val="clear" w:color="auto" w:fill="D9D9D9" w:themeFill="background1" w:themeFillShade="D9"/>
            <w:vAlign w:val="center"/>
          </w:tcPr>
          <w:p w14:paraId="2AE169A8"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w:t>
            </w:r>
          </w:p>
        </w:tc>
        <w:tc>
          <w:tcPr>
            <w:tcW w:w="1559" w:type="dxa"/>
            <w:shd w:val="clear" w:color="auto" w:fill="D9D9D9" w:themeFill="background1" w:themeFillShade="D9"/>
            <w:vAlign w:val="center"/>
          </w:tcPr>
          <w:p w14:paraId="249F1A30" w14:textId="77777777" w:rsidR="00B61AF6" w:rsidRPr="00B61AF6" w:rsidRDefault="00B61AF6" w:rsidP="0096187D">
            <w:pPr>
              <w:spacing w:after="0"/>
              <w:rPr>
                <w:rFonts w:ascii="Garamond" w:hAnsi="Garamond" w:cs="Arial"/>
                <w:bCs/>
                <w:sz w:val="20"/>
                <w:szCs w:val="20"/>
              </w:rPr>
            </w:pPr>
            <w:r w:rsidRPr="00B61AF6">
              <w:rPr>
                <w:rFonts w:ascii="Garamond" w:hAnsi="Garamond" w:cs="Arial"/>
                <w:bCs/>
                <w:sz w:val="20"/>
                <w:szCs w:val="20"/>
              </w:rPr>
              <w:t>Suportada</w:t>
            </w:r>
          </w:p>
        </w:tc>
      </w:tr>
      <w:tr w:rsidR="00B61AF6" w:rsidRPr="00B61AF6" w14:paraId="61E09102" w14:textId="77777777" w:rsidTr="0096187D">
        <w:trPr>
          <w:trHeight w:val="300"/>
        </w:trPr>
        <w:tc>
          <w:tcPr>
            <w:tcW w:w="724" w:type="dxa"/>
            <w:shd w:val="clear" w:color="auto" w:fill="auto"/>
            <w:vAlign w:val="center"/>
          </w:tcPr>
          <w:p w14:paraId="07A903C5" w14:textId="77777777" w:rsidR="00B61AF6" w:rsidRPr="00B61AF6" w:rsidRDefault="00B61AF6" w:rsidP="0096187D">
            <w:pPr>
              <w:spacing w:after="0"/>
              <w:jc w:val="center"/>
              <w:rPr>
                <w:rFonts w:ascii="Garamond" w:hAnsi="Garamond" w:cs="Arial"/>
                <w:bCs/>
                <w:color w:val="000000"/>
                <w:sz w:val="20"/>
                <w:szCs w:val="20"/>
              </w:rPr>
            </w:pPr>
            <w:r w:rsidRPr="00B61AF6">
              <w:rPr>
                <w:rFonts w:ascii="Garamond" w:hAnsi="Garamond" w:cs="Arial"/>
                <w:bCs/>
                <w:color w:val="000000"/>
                <w:sz w:val="20"/>
                <w:szCs w:val="20"/>
              </w:rPr>
              <w:t>H2c</w:t>
            </w:r>
          </w:p>
        </w:tc>
        <w:tc>
          <w:tcPr>
            <w:tcW w:w="1701" w:type="dxa"/>
            <w:shd w:val="clear" w:color="auto" w:fill="auto"/>
            <w:noWrap/>
            <w:vAlign w:val="center"/>
          </w:tcPr>
          <w:p w14:paraId="7A025F19" w14:textId="77777777" w:rsidR="00B61AF6" w:rsidRPr="00B61AF6" w:rsidRDefault="00B61AF6" w:rsidP="0096187D">
            <w:pPr>
              <w:spacing w:after="0"/>
              <w:rPr>
                <w:rFonts w:ascii="Garamond" w:hAnsi="Garamond" w:cs="Arial"/>
                <w:bCs/>
                <w:color w:val="000000"/>
                <w:sz w:val="20"/>
                <w:szCs w:val="20"/>
              </w:rPr>
            </w:pPr>
            <w:r w:rsidRPr="00B61AF6">
              <w:rPr>
                <w:rFonts w:ascii="Garamond" w:hAnsi="Garamond" w:cs="Arial"/>
                <w:bCs/>
                <w:color w:val="000000"/>
                <w:sz w:val="20"/>
                <w:szCs w:val="20"/>
              </w:rPr>
              <w:t xml:space="preserve">VC -&gt; PC -&gt; </w:t>
            </w:r>
            <w:r w:rsidRPr="00B61AF6">
              <w:rPr>
                <w:rFonts w:ascii="Garamond" w:hAnsi="Garamond" w:cs="Arial"/>
                <w:bCs/>
                <w:sz w:val="20"/>
                <w:szCs w:val="20"/>
              </w:rPr>
              <w:t>SIV</w:t>
            </w:r>
          </w:p>
        </w:tc>
        <w:tc>
          <w:tcPr>
            <w:tcW w:w="851" w:type="dxa"/>
            <w:shd w:val="clear" w:color="auto" w:fill="auto"/>
            <w:vAlign w:val="center"/>
          </w:tcPr>
          <w:p w14:paraId="48074DAC"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w:t>
            </w:r>
          </w:p>
        </w:tc>
        <w:tc>
          <w:tcPr>
            <w:tcW w:w="851" w:type="dxa"/>
            <w:shd w:val="clear" w:color="auto" w:fill="auto"/>
            <w:vAlign w:val="center"/>
          </w:tcPr>
          <w:p w14:paraId="5B3BA89C"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0,004</w:t>
            </w:r>
          </w:p>
        </w:tc>
        <w:tc>
          <w:tcPr>
            <w:tcW w:w="851" w:type="dxa"/>
            <w:shd w:val="clear" w:color="auto" w:fill="auto"/>
            <w:noWrap/>
            <w:vAlign w:val="center"/>
          </w:tcPr>
          <w:p w14:paraId="1AC03C72"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-0,048</w:t>
            </w:r>
          </w:p>
        </w:tc>
        <w:tc>
          <w:tcPr>
            <w:tcW w:w="849" w:type="dxa"/>
            <w:shd w:val="clear" w:color="auto" w:fill="auto"/>
            <w:noWrap/>
            <w:vAlign w:val="center"/>
          </w:tcPr>
          <w:p w14:paraId="5BDB97BC"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0,616</w:t>
            </w:r>
          </w:p>
        </w:tc>
        <w:tc>
          <w:tcPr>
            <w:tcW w:w="1064" w:type="dxa"/>
            <w:shd w:val="clear" w:color="auto" w:fill="auto"/>
            <w:noWrap/>
            <w:vAlign w:val="center"/>
          </w:tcPr>
          <w:p w14:paraId="1258FB97"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0,538</w:t>
            </w:r>
          </w:p>
        </w:tc>
        <w:tc>
          <w:tcPr>
            <w:tcW w:w="850" w:type="dxa"/>
            <w:shd w:val="clear" w:color="auto" w:fill="auto"/>
            <w:vAlign w:val="center"/>
          </w:tcPr>
          <w:p w14:paraId="7AB87FBB"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w:t>
            </w:r>
          </w:p>
        </w:tc>
        <w:tc>
          <w:tcPr>
            <w:tcW w:w="1559" w:type="dxa"/>
            <w:shd w:val="clear" w:color="auto" w:fill="auto"/>
            <w:vAlign w:val="center"/>
          </w:tcPr>
          <w:p w14:paraId="13092BC3" w14:textId="77777777" w:rsidR="00B61AF6" w:rsidRPr="00B61AF6" w:rsidRDefault="00B61AF6" w:rsidP="0096187D">
            <w:pPr>
              <w:spacing w:after="0"/>
              <w:rPr>
                <w:rFonts w:ascii="Garamond" w:hAnsi="Garamond" w:cs="Arial"/>
                <w:bCs/>
                <w:sz w:val="20"/>
                <w:szCs w:val="20"/>
              </w:rPr>
            </w:pPr>
            <w:r w:rsidRPr="00B61AF6">
              <w:rPr>
                <w:rFonts w:ascii="Garamond" w:hAnsi="Garamond" w:cs="Arial"/>
                <w:bCs/>
                <w:sz w:val="20"/>
                <w:szCs w:val="20"/>
              </w:rPr>
              <w:t>Não suportada</w:t>
            </w:r>
          </w:p>
        </w:tc>
      </w:tr>
      <w:tr w:rsidR="00B61AF6" w:rsidRPr="00B61AF6" w14:paraId="27E499B3" w14:textId="77777777" w:rsidTr="0096187D">
        <w:trPr>
          <w:trHeight w:val="300"/>
        </w:trPr>
        <w:tc>
          <w:tcPr>
            <w:tcW w:w="724" w:type="dxa"/>
            <w:shd w:val="clear" w:color="auto" w:fill="D9D9D9" w:themeFill="background1" w:themeFillShade="D9"/>
            <w:vAlign w:val="center"/>
          </w:tcPr>
          <w:p w14:paraId="7F27EA44" w14:textId="77777777" w:rsidR="00B61AF6" w:rsidRPr="00B61AF6" w:rsidRDefault="00B61AF6" w:rsidP="0096187D">
            <w:pPr>
              <w:spacing w:after="0"/>
              <w:jc w:val="center"/>
              <w:rPr>
                <w:rFonts w:ascii="Garamond" w:hAnsi="Garamond" w:cs="Arial"/>
                <w:bCs/>
                <w:color w:val="000000"/>
                <w:sz w:val="20"/>
                <w:szCs w:val="20"/>
              </w:rPr>
            </w:pPr>
            <w:r w:rsidRPr="00B61AF6">
              <w:rPr>
                <w:rFonts w:ascii="Garamond" w:hAnsi="Garamond" w:cs="Arial"/>
                <w:bCs/>
                <w:color w:val="000000"/>
                <w:sz w:val="20"/>
                <w:szCs w:val="20"/>
              </w:rPr>
              <w:t>H2d</w:t>
            </w:r>
          </w:p>
        </w:tc>
        <w:tc>
          <w:tcPr>
            <w:tcW w:w="1701" w:type="dxa"/>
            <w:shd w:val="clear" w:color="auto" w:fill="D9D9D9" w:themeFill="background1" w:themeFillShade="D9"/>
            <w:noWrap/>
            <w:vAlign w:val="center"/>
          </w:tcPr>
          <w:p w14:paraId="39532C2A" w14:textId="77777777" w:rsidR="00B61AF6" w:rsidRPr="00B61AF6" w:rsidRDefault="00B61AF6" w:rsidP="0096187D">
            <w:pPr>
              <w:spacing w:after="0"/>
              <w:rPr>
                <w:rFonts w:ascii="Garamond" w:hAnsi="Garamond" w:cs="Arial"/>
                <w:bCs/>
                <w:color w:val="000000"/>
                <w:sz w:val="20"/>
                <w:szCs w:val="20"/>
              </w:rPr>
            </w:pPr>
            <w:r w:rsidRPr="00B61AF6">
              <w:rPr>
                <w:rFonts w:ascii="Garamond" w:hAnsi="Garamond" w:cs="Arial"/>
                <w:bCs/>
                <w:color w:val="000000"/>
                <w:sz w:val="20"/>
                <w:szCs w:val="20"/>
              </w:rPr>
              <w:t xml:space="preserve">VC -&gt; PC -&gt; </w:t>
            </w:r>
            <w:r w:rsidRPr="00B61AF6">
              <w:rPr>
                <w:rFonts w:ascii="Garamond" w:hAnsi="Garamond" w:cs="Arial"/>
                <w:bCs/>
                <w:sz w:val="20"/>
                <w:szCs w:val="20"/>
              </w:rPr>
              <w:t>BE</w:t>
            </w:r>
          </w:p>
        </w:tc>
        <w:tc>
          <w:tcPr>
            <w:tcW w:w="851" w:type="dxa"/>
            <w:shd w:val="clear" w:color="auto" w:fill="D9D9D9" w:themeFill="background1" w:themeFillShade="D9"/>
            <w:vAlign w:val="center"/>
          </w:tcPr>
          <w:p w14:paraId="46D20BAB"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w:t>
            </w:r>
          </w:p>
        </w:tc>
        <w:tc>
          <w:tcPr>
            <w:tcW w:w="851" w:type="dxa"/>
            <w:shd w:val="clear" w:color="auto" w:fill="D9D9D9" w:themeFill="background1" w:themeFillShade="D9"/>
            <w:vAlign w:val="center"/>
          </w:tcPr>
          <w:p w14:paraId="031672BF"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0,034</w:t>
            </w:r>
          </w:p>
        </w:tc>
        <w:tc>
          <w:tcPr>
            <w:tcW w:w="851" w:type="dxa"/>
            <w:shd w:val="clear" w:color="auto" w:fill="D9D9D9" w:themeFill="background1" w:themeFillShade="D9"/>
            <w:noWrap/>
            <w:vAlign w:val="center"/>
          </w:tcPr>
          <w:p w14:paraId="0F3CB1C7"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0,161</w:t>
            </w:r>
          </w:p>
        </w:tc>
        <w:tc>
          <w:tcPr>
            <w:tcW w:w="849" w:type="dxa"/>
            <w:shd w:val="clear" w:color="auto" w:fill="D9D9D9" w:themeFill="background1" w:themeFillShade="D9"/>
            <w:noWrap/>
            <w:vAlign w:val="center"/>
          </w:tcPr>
          <w:p w14:paraId="267CCF1A"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3,983</w:t>
            </w:r>
          </w:p>
        </w:tc>
        <w:tc>
          <w:tcPr>
            <w:tcW w:w="1064" w:type="dxa"/>
            <w:shd w:val="clear" w:color="auto" w:fill="D9D9D9" w:themeFill="background1" w:themeFillShade="D9"/>
            <w:noWrap/>
            <w:vAlign w:val="center"/>
          </w:tcPr>
          <w:p w14:paraId="1D21DE95"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0,000*</w:t>
            </w:r>
          </w:p>
        </w:tc>
        <w:tc>
          <w:tcPr>
            <w:tcW w:w="850" w:type="dxa"/>
            <w:shd w:val="clear" w:color="auto" w:fill="D9D9D9" w:themeFill="background1" w:themeFillShade="D9"/>
            <w:vAlign w:val="center"/>
          </w:tcPr>
          <w:p w14:paraId="3764AE34"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w:t>
            </w:r>
          </w:p>
        </w:tc>
        <w:tc>
          <w:tcPr>
            <w:tcW w:w="1559" w:type="dxa"/>
            <w:shd w:val="clear" w:color="auto" w:fill="D9D9D9" w:themeFill="background1" w:themeFillShade="D9"/>
            <w:vAlign w:val="center"/>
          </w:tcPr>
          <w:p w14:paraId="2C7BE3F3" w14:textId="77777777" w:rsidR="00B61AF6" w:rsidRPr="00B61AF6" w:rsidRDefault="00B61AF6" w:rsidP="0096187D">
            <w:pPr>
              <w:spacing w:after="0"/>
              <w:rPr>
                <w:rFonts w:ascii="Garamond" w:hAnsi="Garamond" w:cs="Arial"/>
                <w:bCs/>
                <w:sz w:val="20"/>
                <w:szCs w:val="20"/>
              </w:rPr>
            </w:pPr>
            <w:r w:rsidRPr="00B61AF6">
              <w:rPr>
                <w:rFonts w:ascii="Garamond" w:hAnsi="Garamond" w:cs="Arial"/>
                <w:bCs/>
                <w:sz w:val="20"/>
                <w:szCs w:val="20"/>
              </w:rPr>
              <w:t>Suportada</w:t>
            </w:r>
          </w:p>
        </w:tc>
      </w:tr>
      <w:tr w:rsidR="00B61AF6" w:rsidRPr="00B61AF6" w14:paraId="1AB8C39B" w14:textId="77777777" w:rsidTr="0096187D">
        <w:trPr>
          <w:trHeight w:val="300"/>
        </w:trPr>
        <w:tc>
          <w:tcPr>
            <w:tcW w:w="724" w:type="dxa"/>
            <w:tcBorders>
              <w:bottom w:val="single" w:sz="4" w:space="0" w:color="auto"/>
            </w:tcBorders>
            <w:shd w:val="clear" w:color="auto" w:fill="auto"/>
            <w:vAlign w:val="center"/>
          </w:tcPr>
          <w:p w14:paraId="07E93941" w14:textId="77777777" w:rsidR="00B61AF6" w:rsidRPr="00B61AF6" w:rsidRDefault="00B61AF6" w:rsidP="0096187D">
            <w:pPr>
              <w:spacing w:after="0"/>
              <w:jc w:val="center"/>
              <w:rPr>
                <w:rFonts w:ascii="Garamond" w:hAnsi="Garamond" w:cs="Arial"/>
                <w:bCs/>
                <w:color w:val="000000"/>
                <w:sz w:val="20"/>
                <w:szCs w:val="20"/>
              </w:rPr>
            </w:pPr>
            <w:r w:rsidRPr="00B61AF6">
              <w:rPr>
                <w:rFonts w:ascii="Garamond" w:hAnsi="Garamond" w:cs="Arial"/>
                <w:bCs/>
                <w:color w:val="000000"/>
                <w:sz w:val="20"/>
                <w:szCs w:val="20"/>
              </w:rPr>
              <w:t>H2e</w:t>
            </w:r>
          </w:p>
        </w:tc>
        <w:tc>
          <w:tcPr>
            <w:tcW w:w="1701" w:type="dxa"/>
            <w:tcBorders>
              <w:bottom w:val="single" w:sz="4" w:space="0" w:color="auto"/>
            </w:tcBorders>
            <w:shd w:val="clear" w:color="auto" w:fill="auto"/>
            <w:noWrap/>
            <w:vAlign w:val="center"/>
          </w:tcPr>
          <w:p w14:paraId="19462232" w14:textId="77777777" w:rsidR="00B61AF6" w:rsidRPr="00B61AF6" w:rsidRDefault="00B61AF6" w:rsidP="0096187D">
            <w:pPr>
              <w:spacing w:after="0"/>
              <w:rPr>
                <w:rFonts w:ascii="Garamond" w:hAnsi="Garamond" w:cs="Arial"/>
                <w:bCs/>
                <w:color w:val="000000"/>
                <w:sz w:val="20"/>
                <w:szCs w:val="20"/>
              </w:rPr>
            </w:pPr>
            <w:r w:rsidRPr="00B61AF6">
              <w:rPr>
                <w:rFonts w:ascii="Garamond" w:hAnsi="Garamond" w:cs="Arial"/>
                <w:bCs/>
                <w:color w:val="000000"/>
                <w:sz w:val="20"/>
                <w:szCs w:val="20"/>
              </w:rPr>
              <w:t xml:space="preserve">VC -&gt; PC -&gt; </w:t>
            </w:r>
            <w:r w:rsidRPr="00B61AF6">
              <w:rPr>
                <w:rFonts w:ascii="Garamond" w:hAnsi="Garamond" w:cs="Arial"/>
                <w:bCs/>
                <w:sz w:val="20"/>
                <w:szCs w:val="20"/>
              </w:rPr>
              <w:t>CC</w:t>
            </w:r>
          </w:p>
        </w:tc>
        <w:tc>
          <w:tcPr>
            <w:tcW w:w="851" w:type="dxa"/>
            <w:tcBorders>
              <w:bottom w:val="single" w:sz="4" w:space="0" w:color="auto"/>
            </w:tcBorders>
            <w:shd w:val="clear" w:color="auto" w:fill="auto"/>
            <w:vAlign w:val="center"/>
          </w:tcPr>
          <w:p w14:paraId="329A98C1"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w:t>
            </w:r>
          </w:p>
        </w:tc>
        <w:tc>
          <w:tcPr>
            <w:tcW w:w="851" w:type="dxa"/>
            <w:tcBorders>
              <w:bottom w:val="single" w:sz="4" w:space="0" w:color="auto"/>
            </w:tcBorders>
            <w:shd w:val="clear" w:color="auto" w:fill="auto"/>
            <w:vAlign w:val="center"/>
          </w:tcPr>
          <w:p w14:paraId="6FE2ED9E" w14:textId="77777777" w:rsidR="00B61AF6" w:rsidRPr="00B61AF6" w:rsidRDefault="00B61AF6" w:rsidP="0096187D">
            <w:pPr>
              <w:spacing w:after="0"/>
              <w:jc w:val="center"/>
              <w:rPr>
                <w:rFonts w:ascii="Garamond" w:hAnsi="Garamond" w:cs="Arial"/>
                <w:color w:val="000000"/>
                <w:sz w:val="20"/>
                <w:szCs w:val="20"/>
              </w:rPr>
            </w:pPr>
            <w:r w:rsidRPr="00B61AF6">
              <w:rPr>
                <w:rFonts w:ascii="Garamond" w:hAnsi="Garamond" w:cs="Arial"/>
                <w:color w:val="000000"/>
                <w:sz w:val="20"/>
                <w:szCs w:val="20"/>
              </w:rPr>
              <w:t>0,005</w:t>
            </w:r>
          </w:p>
        </w:tc>
        <w:tc>
          <w:tcPr>
            <w:tcW w:w="851" w:type="dxa"/>
            <w:tcBorders>
              <w:bottom w:val="single" w:sz="4" w:space="0" w:color="auto"/>
            </w:tcBorders>
            <w:shd w:val="clear" w:color="auto" w:fill="auto"/>
            <w:noWrap/>
            <w:vAlign w:val="center"/>
          </w:tcPr>
          <w:p w14:paraId="6FC2A781"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0,048</w:t>
            </w:r>
          </w:p>
        </w:tc>
        <w:tc>
          <w:tcPr>
            <w:tcW w:w="849" w:type="dxa"/>
            <w:tcBorders>
              <w:bottom w:val="single" w:sz="4" w:space="0" w:color="auto"/>
            </w:tcBorders>
            <w:shd w:val="clear" w:color="auto" w:fill="auto"/>
            <w:noWrap/>
            <w:vAlign w:val="center"/>
          </w:tcPr>
          <w:p w14:paraId="19A0E94A" w14:textId="77777777" w:rsidR="00B61AF6" w:rsidRPr="00B61AF6" w:rsidRDefault="00B61AF6" w:rsidP="0096187D">
            <w:pPr>
              <w:spacing w:after="0"/>
              <w:jc w:val="center"/>
              <w:rPr>
                <w:rFonts w:ascii="Garamond" w:hAnsi="Garamond" w:cs="Arial"/>
                <w:sz w:val="20"/>
                <w:szCs w:val="20"/>
              </w:rPr>
            </w:pPr>
            <w:r w:rsidRPr="00B61AF6">
              <w:rPr>
                <w:rFonts w:ascii="Garamond" w:hAnsi="Garamond" w:cs="Arial"/>
                <w:sz w:val="20"/>
                <w:szCs w:val="20"/>
              </w:rPr>
              <w:t>1,693</w:t>
            </w:r>
          </w:p>
        </w:tc>
        <w:tc>
          <w:tcPr>
            <w:tcW w:w="1064" w:type="dxa"/>
            <w:tcBorders>
              <w:bottom w:val="single" w:sz="4" w:space="0" w:color="auto"/>
            </w:tcBorders>
            <w:shd w:val="clear" w:color="auto" w:fill="auto"/>
            <w:noWrap/>
            <w:vAlign w:val="center"/>
          </w:tcPr>
          <w:p w14:paraId="4D22853D"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0,091</w:t>
            </w:r>
          </w:p>
        </w:tc>
        <w:tc>
          <w:tcPr>
            <w:tcW w:w="850" w:type="dxa"/>
            <w:tcBorders>
              <w:bottom w:val="single" w:sz="4" w:space="0" w:color="auto"/>
            </w:tcBorders>
            <w:shd w:val="clear" w:color="auto" w:fill="auto"/>
            <w:vAlign w:val="center"/>
          </w:tcPr>
          <w:p w14:paraId="405E4855" w14:textId="77777777" w:rsidR="00B61AF6" w:rsidRPr="00B61AF6" w:rsidRDefault="00B61AF6" w:rsidP="0096187D">
            <w:pPr>
              <w:spacing w:after="0"/>
              <w:jc w:val="center"/>
              <w:rPr>
                <w:rFonts w:ascii="Garamond" w:hAnsi="Garamond" w:cs="Arial"/>
                <w:bCs/>
                <w:sz w:val="20"/>
                <w:szCs w:val="20"/>
              </w:rPr>
            </w:pPr>
            <w:r w:rsidRPr="00B61AF6">
              <w:rPr>
                <w:rFonts w:ascii="Garamond" w:hAnsi="Garamond" w:cs="Arial"/>
                <w:bCs/>
                <w:sz w:val="20"/>
                <w:szCs w:val="20"/>
              </w:rPr>
              <w:t>-</w:t>
            </w:r>
          </w:p>
        </w:tc>
        <w:tc>
          <w:tcPr>
            <w:tcW w:w="1559" w:type="dxa"/>
            <w:tcBorders>
              <w:bottom w:val="single" w:sz="4" w:space="0" w:color="auto"/>
            </w:tcBorders>
            <w:shd w:val="clear" w:color="auto" w:fill="auto"/>
            <w:vAlign w:val="center"/>
          </w:tcPr>
          <w:p w14:paraId="7C09B02E" w14:textId="77777777" w:rsidR="00B61AF6" w:rsidRPr="00B61AF6" w:rsidRDefault="00B61AF6" w:rsidP="0096187D">
            <w:pPr>
              <w:spacing w:after="0"/>
              <w:rPr>
                <w:rFonts w:ascii="Garamond" w:hAnsi="Garamond" w:cs="Arial"/>
                <w:bCs/>
                <w:sz w:val="20"/>
                <w:szCs w:val="20"/>
              </w:rPr>
            </w:pPr>
            <w:r w:rsidRPr="00B61AF6">
              <w:rPr>
                <w:rFonts w:ascii="Garamond" w:hAnsi="Garamond" w:cs="Arial"/>
                <w:bCs/>
                <w:sz w:val="20"/>
                <w:szCs w:val="20"/>
              </w:rPr>
              <w:t>Não Suportada</w:t>
            </w:r>
          </w:p>
        </w:tc>
      </w:tr>
    </w:tbl>
    <w:p w14:paraId="190456F1" w14:textId="77777777" w:rsidR="004E242F" w:rsidRPr="004E242F" w:rsidRDefault="004E242F" w:rsidP="004E242F">
      <w:pPr>
        <w:autoSpaceDE w:val="0"/>
        <w:autoSpaceDN w:val="0"/>
        <w:adjustRightInd w:val="0"/>
        <w:spacing w:after="0"/>
        <w:jc w:val="both"/>
        <w:rPr>
          <w:rFonts w:ascii="Garamond" w:eastAsia="Times New Roman" w:hAnsi="Garamond"/>
          <w:sz w:val="20"/>
          <w:szCs w:val="20"/>
          <w:lang w:eastAsia="pt-BR"/>
        </w:rPr>
      </w:pPr>
      <w:r w:rsidRPr="004E242F">
        <w:rPr>
          <w:rFonts w:ascii="Garamond" w:eastAsia="Times New Roman" w:hAnsi="Garamond"/>
          <w:b/>
          <w:bCs/>
          <w:sz w:val="20"/>
          <w:szCs w:val="20"/>
          <w:lang w:eastAsia="pt-BR"/>
        </w:rPr>
        <w:t>Fonte</w:t>
      </w:r>
      <w:r w:rsidRPr="004E242F">
        <w:rPr>
          <w:rFonts w:ascii="Garamond" w:eastAsia="Times New Roman" w:hAnsi="Garamond"/>
          <w:sz w:val="20"/>
          <w:szCs w:val="20"/>
          <w:lang w:eastAsia="pt-BR"/>
        </w:rPr>
        <w:t xml:space="preserve">: Dados da pesquisa. </w:t>
      </w:r>
    </w:p>
    <w:p w14:paraId="56882102" w14:textId="77777777" w:rsidR="004E242F" w:rsidRPr="004E242F" w:rsidRDefault="004E242F" w:rsidP="004E242F">
      <w:pPr>
        <w:autoSpaceDE w:val="0"/>
        <w:autoSpaceDN w:val="0"/>
        <w:adjustRightInd w:val="0"/>
        <w:spacing w:after="0"/>
        <w:jc w:val="both"/>
        <w:rPr>
          <w:rFonts w:ascii="Garamond" w:eastAsia="Times New Roman" w:hAnsi="Garamond"/>
          <w:sz w:val="20"/>
          <w:szCs w:val="20"/>
          <w:lang w:eastAsia="pt-BR"/>
        </w:rPr>
      </w:pPr>
      <w:r w:rsidRPr="004E242F">
        <w:rPr>
          <w:rFonts w:ascii="Garamond" w:eastAsia="Times New Roman" w:hAnsi="Garamond"/>
          <w:b/>
          <w:bCs/>
          <w:sz w:val="20"/>
          <w:szCs w:val="20"/>
          <w:lang w:eastAsia="pt-BR"/>
        </w:rPr>
        <w:t>Legenda</w:t>
      </w:r>
      <w:r w:rsidRPr="004E242F">
        <w:rPr>
          <w:rFonts w:ascii="Garamond" w:eastAsia="Times New Roman" w:hAnsi="Garamond"/>
          <w:sz w:val="20"/>
          <w:szCs w:val="20"/>
          <w:lang w:eastAsia="pt-BR"/>
        </w:rPr>
        <w:t xml:space="preserve">: PC: Perceber um chamado; ST: Satisfação no trabalho; SAV: Satisfação com a vida; SIV: Significado da vida; BE: Bem-estar existencial; CC: Comprometimento com a carreira; VC: Viver um chamado; </w:t>
      </w:r>
    </w:p>
    <w:p w14:paraId="479F7A49" w14:textId="3F67322D" w:rsidR="00B61AF6" w:rsidRPr="004E242F" w:rsidRDefault="004E242F" w:rsidP="004E242F">
      <w:pPr>
        <w:autoSpaceDE w:val="0"/>
        <w:autoSpaceDN w:val="0"/>
        <w:adjustRightInd w:val="0"/>
        <w:spacing w:after="0"/>
        <w:jc w:val="both"/>
        <w:rPr>
          <w:rFonts w:ascii="Garamond" w:eastAsia="Times New Roman" w:hAnsi="Garamond"/>
          <w:sz w:val="20"/>
          <w:szCs w:val="20"/>
          <w:lang w:eastAsia="pt-BR"/>
        </w:rPr>
      </w:pPr>
      <w:r w:rsidRPr="004E242F">
        <w:rPr>
          <w:rFonts w:ascii="Garamond" w:eastAsia="Times New Roman" w:hAnsi="Garamond"/>
          <w:b/>
          <w:bCs/>
          <w:sz w:val="20"/>
          <w:szCs w:val="20"/>
          <w:lang w:eastAsia="pt-BR"/>
        </w:rPr>
        <w:t>Nota</w:t>
      </w:r>
      <w:r w:rsidRPr="004E242F">
        <w:rPr>
          <w:rFonts w:ascii="Garamond" w:eastAsia="Times New Roman" w:hAnsi="Garamond"/>
          <w:sz w:val="20"/>
          <w:szCs w:val="20"/>
          <w:lang w:eastAsia="pt-BR"/>
        </w:rPr>
        <w:t>: Teste t &gt; 2,57 = p valor &lt; 0,01;</w:t>
      </w:r>
    </w:p>
    <w:p w14:paraId="6213D7AA" w14:textId="77777777" w:rsidR="004E242F" w:rsidRDefault="004E242F" w:rsidP="009F6351">
      <w:pPr>
        <w:autoSpaceDE w:val="0"/>
        <w:autoSpaceDN w:val="0"/>
        <w:adjustRightInd w:val="0"/>
        <w:jc w:val="both"/>
        <w:rPr>
          <w:rFonts w:ascii="Garamond" w:eastAsia="Times New Roman" w:hAnsi="Garamond"/>
          <w:lang w:eastAsia="pt-BR"/>
        </w:rPr>
      </w:pPr>
    </w:p>
    <w:p w14:paraId="1208625C" w14:textId="77777777" w:rsidR="007045CE" w:rsidRPr="007045CE" w:rsidRDefault="007045CE" w:rsidP="007045CE">
      <w:pPr>
        <w:autoSpaceDE w:val="0"/>
        <w:autoSpaceDN w:val="0"/>
        <w:adjustRightInd w:val="0"/>
        <w:jc w:val="both"/>
        <w:rPr>
          <w:rFonts w:ascii="Garamond" w:eastAsia="Times New Roman" w:hAnsi="Garamond"/>
          <w:lang w:eastAsia="pt-BR"/>
        </w:rPr>
      </w:pPr>
      <w:r w:rsidRPr="007045CE">
        <w:rPr>
          <w:rFonts w:ascii="Garamond" w:eastAsia="Times New Roman" w:hAnsi="Garamond"/>
          <w:lang w:eastAsia="pt-BR"/>
        </w:rPr>
        <w:t>Adicionalmente foi verificado o tamanho do efeito de f² (coeficiente de Cohen), sendo que para valores de f² considera-se: 0,02, como pequeno, 0,15, como médio e 0,35, como grande (Cohen, 1988).  Desta forma, verificou-se que em todas as relações diretas propostas, que o efeito de um construto sobre o outro foi pequeno, conforme pode ser verificado na tabela 5.</w:t>
      </w:r>
    </w:p>
    <w:p w14:paraId="06A8BBAE" w14:textId="77777777" w:rsidR="003166A4" w:rsidRDefault="007045CE" w:rsidP="007045CE">
      <w:pPr>
        <w:autoSpaceDE w:val="0"/>
        <w:autoSpaceDN w:val="0"/>
        <w:adjustRightInd w:val="0"/>
        <w:jc w:val="both"/>
        <w:rPr>
          <w:rFonts w:ascii="Garamond" w:eastAsia="Times New Roman" w:hAnsi="Garamond"/>
          <w:lang w:eastAsia="pt-BR"/>
        </w:rPr>
      </w:pPr>
      <w:r w:rsidRPr="007045CE">
        <w:rPr>
          <w:rFonts w:ascii="Garamond" w:eastAsia="Times New Roman" w:hAnsi="Garamond"/>
          <w:lang w:eastAsia="pt-BR"/>
        </w:rPr>
        <w:t xml:space="preserve">Por fim, ainda, analisou-se o fator de inflação de variância (VIF- </w:t>
      </w:r>
      <w:proofErr w:type="spellStart"/>
      <w:r w:rsidRPr="007045CE">
        <w:rPr>
          <w:rFonts w:ascii="Garamond" w:eastAsia="Times New Roman" w:hAnsi="Garamond"/>
          <w:i/>
          <w:iCs/>
          <w:lang w:eastAsia="pt-BR"/>
        </w:rPr>
        <w:t>Variance</w:t>
      </w:r>
      <w:proofErr w:type="spellEnd"/>
      <w:r w:rsidRPr="007045CE">
        <w:rPr>
          <w:rFonts w:ascii="Garamond" w:eastAsia="Times New Roman" w:hAnsi="Garamond"/>
          <w:i/>
          <w:iCs/>
          <w:lang w:eastAsia="pt-BR"/>
        </w:rPr>
        <w:t xml:space="preserve"> </w:t>
      </w:r>
      <w:proofErr w:type="spellStart"/>
      <w:r w:rsidRPr="007045CE">
        <w:rPr>
          <w:rFonts w:ascii="Garamond" w:eastAsia="Times New Roman" w:hAnsi="Garamond"/>
          <w:i/>
          <w:iCs/>
          <w:lang w:eastAsia="pt-BR"/>
        </w:rPr>
        <w:t>Inflation</w:t>
      </w:r>
      <w:proofErr w:type="spellEnd"/>
      <w:r w:rsidRPr="007045CE">
        <w:rPr>
          <w:rFonts w:ascii="Garamond" w:eastAsia="Times New Roman" w:hAnsi="Garamond"/>
          <w:i/>
          <w:iCs/>
          <w:lang w:eastAsia="pt-BR"/>
        </w:rPr>
        <w:t xml:space="preserve"> Factor</w:t>
      </w:r>
      <w:r w:rsidRPr="007045CE">
        <w:rPr>
          <w:rFonts w:ascii="Garamond" w:eastAsia="Times New Roman" w:hAnsi="Garamond"/>
          <w:lang w:eastAsia="pt-BR"/>
        </w:rPr>
        <w:t xml:space="preserve">). O VIF tem como função identificar a existência de </w:t>
      </w:r>
      <w:proofErr w:type="spellStart"/>
      <w:r w:rsidRPr="007045CE">
        <w:rPr>
          <w:rFonts w:ascii="Garamond" w:eastAsia="Times New Roman" w:hAnsi="Garamond"/>
          <w:i/>
          <w:iCs/>
          <w:lang w:eastAsia="pt-BR"/>
        </w:rPr>
        <w:t>multicolinearidade</w:t>
      </w:r>
      <w:proofErr w:type="spellEnd"/>
      <w:r w:rsidRPr="007045CE">
        <w:rPr>
          <w:rFonts w:ascii="Garamond" w:eastAsia="Times New Roman" w:hAnsi="Garamond"/>
          <w:lang w:eastAsia="pt-BR"/>
        </w:rPr>
        <w:t xml:space="preserve"> no modelo, quando o valor do VIF dos construtos é maior que 5, deve-se considerar a exclusão ou agrupamento dos preditores em variáveis latentes de segunda ordem (</w:t>
      </w:r>
      <w:proofErr w:type="spellStart"/>
      <w:r w:rsidRPr="007045CE">
        <w:rPr>
          <w:rFonts w:ascii="Garamond" w:eastAsia="Times New Roman" w:hAnsi="Garamond"/>
          <w:lang w:eastAsia="pt-BR"/>
        </w:rPr>
        <w:t>Bido</w:t>
      </w:r>
      <w:proofErr w:type="spellEnd"/>
      <w:r w:rsidRPr="007045CE">
        <w:rPr>
          <w:rFonts w:ascii="Garamond" w:eastAsia="Times New Roman" w:hAnsi="Garamond"/>
          <w:lang w:eastAsia="pt-BR"/>
        </w:rPr>
        <w:t xml:space="preserve"> &amp; Silva, 2019). Entretanto, dado que os valores dos </w:t>
      </w:r>
      <w:proofErr w:type="spellStart"/>
      <w:r w:rsidRPr="007045CE">
        <w:rPr>
          <w:rFonts w:ascii="Garamond" w:eastAsia="Times New Roman" w:hAnsi="Garamond"/>
          <w:lang w:eastAsia="pt-BR"/>
        </w:rPr>
        <w:t>VIFs</w:t>
      </w:r>
      <w:proofErr w:type="spellEnd"/>
      <w:r w:rsidRPr="007045CE">
        <w:rPr>
          <w:rFonts w:ascii="Garamond" w:eastAsia="Times New Roman" w:hAnsi="Garamond"/>
          <w:lang w:eastAsia="pt-BR"/>
        </w:rPr>
        <w:t xml:space="preserve"> dos construtos variaram entre 1 e 2,65, não há necessidade de excluir ou agrupar os construtos. Estes valores indicam a inexistência de </w:t>
      </w:r>
      <w:proofErr w:type="spellStart"/>
      <w:r w:rsidRPr="003166A4">
        <w:rPr>
          <w:rFonts w:ascii="Garamond" w:eastAsia="Times New Roman" w:hAnsi="Garamond"/>
          <w:i/>
          <w:iCs/>
          <w:lang w:eastAsia="pt-BR"/>
        </w:rPr>
        <w:t>multicolinearidade</w:t>
      </w:r>
      <w:proofErr w:type="spellEnd"/>
      <w:r w:rsidRPr="007045CE">
        <w:rPr>
          <w:rFonts w:ascii="Garamond" w:eastAsia="Times New Roman" w:hAnsi="Garamond"/>
          <w:lang w:eastAsia="pt-BR"/>
        </w:rPr>
        <w:t>.</w:t>
      </w:r>
    </w:p>
    <w:p w14:paraId="1F8E81B4" w14:textId="77777777" w:rsidR="007933AA" w:rsidRDefault="007933AA">
      <w:pPr>
        <w:spacing w:after="0"/>
        <w:rPr>
          <w:rFonts w:ascii="Garamond" w:hAnsi="Garamond"/>
          <w:b/>
          <w:sz w:val="28"/>
          <w:szCs w:val="28"/>
          <w:lang w:eastAsia="pt-BR"/>
        </w:rPr>
      </w:pPr>
      <w:r>
        <w:rPr>
          <w:rFonts w:ascii="Garamond" w:hAnsi="Garamond"/>
          <w:b/>
          <w:sz w:val="28"/>
          <w:szCs w:val="28"/>
          <w:lang w:eastAsia="pt-BR"/>
        </w:rPr>
        <w:br w:type="page"/>
      </w:r>
    </w:p>
    <w:p w14:paraId="20A4A0BF" w14:textId="7DC8E88E" w:rsidR="003166A4" w:rsidRPr="004F5E05" w:rsidRDefault="003166A4" w:rsidP="003166A4">
      <w:pPr>
        <w:autoSpaceDE w:val="0"/>
        <w:autoSpaceDN w:val="0"/>
        <w:adjustRightInd w:val="0"/>
        <w:jc w:val="both"/>
        <w:rPr>
          <w:rFonts w:ascii="Garamond" w:hAnsi="Garamond"/>
          <w:b/>
          <w:sz w:val="28"/>
          <w:szCs w:val="28"/>
          <w:lang w:eastAsia="pt-BR"/>
        </w:rPr>
      </w:pPr>
      <w:r>
        <w:rPr>
          <w:rFonts w:ascii="Garamond" w:hAnsi="Garamond"/>
          <w:b/>
          <w:sz w:val="28"/>
          <w:szCs w:val="28"/>
          <w:lang w:eastAsia="pt-BR"/>
        </w:rPr>
        <w:lastRenderedPageBreak/>
        <w:t>Discussão</w:t>
      </w:r>
    </w:p>
    <w:p w14:paraId="48B1E96D" w14:textId="77777777" w:rsidR="000069DC" w:rsidRPr="000069DC" w:rsidRDefault="000069DC" w:rsidP="000069DC">
      <w:pPr>
        <w:autoSpaceDE w:val="0"/>
        <w:autoSpaceDN w:val="0"/>
        <w:adjustRightInd w:val="0"/>
        <w:jc w:val="both"/>
        <w:rPr>
          <w:rFonts w:ascii="Garamond" w:eastAsia="Times New Roman" w:hAnsi="Garamond"/>
          <w:lang w:eastAsia="pt-BR"/>
        </w:rPr>
      </w:pPr>
      <w:r w:rsidRPr="000069DC">
        <w:rPr>
          <w:rFonts w:ascii="Garamond" w:eastAsia="Times New Roman" w:hAnsi="Garamond"/>
          <w:lang w:eastAsia="pt-BR"/>
        </w:rPr>
        <w:t>Os resultados demostraram que a relação direta de perceber um chamado com significado da vida (H1c), foi significativa. Porém, a relação direta de perceber um chamado com satisfação no trabalho (H1a), satisfação com a vida (H1b), bem-estar existencial (H1d) e comprometimento com a carreira (H1e) não foram significativas. Ainda, o efeito moderador de viver um chamado mostrou-se significativo na relação entre perceber um chamado com a satisfação no trabalho (H2a), satisfação com a vida (H2b) e bem-estar existencial (H2d). Por outro lado, o papel moderador de viver um chamado na relação entre perceber um chamado com significado da vida (H2c) e comprometimento com a carreira (H2e) não foram significativas.</w:t>
      </w:r>
    </w:p>
    <w:p w14:paraId="6C54D93B" w14:textId="20FDE8C5" w:rsidR="000069DC" w:rsidRPr="000069DC" w:rsidRDefault="000069DC" w:rsidP="000069DC">
      <w:pPr>
        <w:autoSpaceDE w:val="0"/>
        <w:autoSpaceDN w:val="0"/>
        <w:adjustRightInd w:val="0"/>
        <w:jc w:val="both"/>
        <w:rPr>
          <w:rFonts w:ascii="Garamond" w:eastAsia="Times New Roman" w:hAnsi="Garamond"/>
          <w:lang w:eastAsia="pt-BR"/>
        </w:rPr>
      </w:pPr>
      <w:r w:rsidRPr="000069DC">
        <w:rPr>
          <w:rFonts w:ascii="Garamond" w:eastAsia="Times New Roman" w:hAnsi="Garamond"/>
          <w:lang w:eastAsia="pt-BR"/>
        </w:rPr>
        <w:t xml:space="preserve">A hipótese H1a propôs que a percepção de um chamado está associada positivamente a satisfação no trabalho. A explicação para isso seria porque a percepção de um chamado leva o indivíduo a ter uma visão mais tolerante e menos crítica em relação às pessoas no ambiente de trabalho, tendo consequências positivas em relação à satisfação no trabalho. Neste estudo essa hipótese não foi suportada. Isso sugere que perceber o trabalho como um chamado não tende a impactar positivamente na satisfação no trabalho dos indivíduos aqui pesquisados, contrariando os achados de diversas pesquisas anteriores (Duffy et al., 2012; </w:t>
      </w:r>
      <w:proofErr w:type="spellStart"/>
      <w:r w:rsidRPr="000069DC">
        <w:rPr>
          <w:rFonts w:ascii="Garamond" w:eastAsia="Times New Roman" w:hAnsi="Garamond"/>
          <w:lang w:eastAsia="pt-BR"/>
        </w:rPr>
        <w:t>Hirschi</w:t>
      </w:r>
      <w:proofErr w:type="spellEnd"/>
      <w:r w:rsidRPr="000069DC">
        <w:rPr>
          <w:rFonts w:ascii="Garamond" w:eastAsia="Times New Roman" w:hAnsi="Garamond"/>
          <w:lang w:eastAsia="pt-BR"/>
        </w:rPr>
        <w:t xml:space="preserve"> et al., 2019; Nunes &amp; Felix, 2019; Felix &amp; </w:t>
      </w:r>
      <w:proofErr w:type="spellStart"/>
      <w:r w:rsidRPr="000069DC">
        <w:rPr>
          <w:rFonts w:ascii="Garamond" w:eastAsia="Times New Roman" w:hAnsi="Garamond"/>
          <w:lang w:eastAsia="pt-BR"/>
        </w:rPr>
        <w:t>Cavazotte</w:t>
      </w:r>
      <w:proofErr w:type="spellEnd"/>
      <w:r w:rsidRPr="000069DC">
        <w:rPr>
          <w:rFonts w:ascii="Garamond" w:eastAsia="Times New Roman" w:hAnsi="Garamond"/>
          <w:lang w:eastAsia="pt-BR"/>
        </w:rPr>
        <w:t xml:space="preserve">, 2019). Por outro lado, verificou-se que esta relação proposta foi negativa e significativa, este resultado corrobora com o estudo de </w:t>
      </w:r>
      <w:proofErr w:type="spellStart"/>
      <w:r w:rsidRPr="000069DC">
        <w:rPr>
          <w:rFonts w:ascii="Garamond" w:eastAsia="Times New Roman" w:hAnsi="Garamond"/>
          <w:lang w:eastAsia="pt-BR"/>
        </w:rPr>
        <w:t>Hirschi</w:t>
      </w:r>
      <w:proofErr w:type="spellEnd"/>
      <w:r w:rsidRPr="000069DC">
        <w:rPr>
          <w:rFonts w:ascii="Garamond" w:eastAsia="Times New Roman" w:hAnsi="Garamond"/>
          <w:lang w:eastAsia="pt-BR"/>
        </w:rPr>
        <w:t xml:space="preserve"> et al. (2019), onde a presença de um chamado em relação a satisfação no trabalho é tratada como uma faca de dois gumes, ou seja, pode ocasionar um aumento na experiência afetiva e impactar de forma positiva na satisfação do trabalhador; ou de forma negativa, ao causar um excesso de horas trabalhadas, o que pode aumentar também a tendência para o </w:t>
      </w:r>
      <w:proofErr w:type="spellStart"/>
      <w:r w:rsidRPr="000069DC">
        <w:rPr>
          <w:rFonts w:ascii="Garamond" w:eastAsia="Times New Roman" w:hAnsi="Garamond"/>
          <w:i/>
          <w:iCs/>
          <w:lang w:eastAsia="pt-BR"/>
        </w:rPr>
        <w:t>Workaholism</w:t>
      </w:r>
      <w:proofErr w:type="spellEnd"/>
      <w:r w:rsidRPr="000069DC">
        <w:rPr>
          <w:rFonts w:ascii="Garamond" w:eastAsia="Times New Roman" w:hAnsi="Garamond"/>
          <w:lang w:eastAsia="pt-BR"/>
        </w:rPr>
        <w:t>.</w:t>
      </w:r>
    </w:p>
    <w:p w14:paraId="0E1E9616" w14:textId="659B8433" w:rsidR="000069DC" w:rsidRPr="000069DC" w:rsidRDefault="000069DC" w:rsidP="000069DC">
      <w:pPr>
        <w:autoSpaceDE w:val="0"/>
        <w:autoSpaceDN w:val="0"/>
        <w:adjustRightInd w:val="0"/>
        <w:jc w:val="both"/>
        <w:rPr>
          <w:rFonts w:ascii="Garamond" w:eastAsia="Times New Roman" w:hAnsi="Garamond"/>
          <w:lang w:eastAsia="pt-BR"/>
        </w:rPr>
      </w:pPr>
      <w:r w:rsidRPr="000069DC">
        <w:rPr>
          <w:rFonts w:ascii="Garamond" w:eastAsia="Times New Roman" w:hAnsi="Garamond"/>
          <w:lang w:eastAsia="pt-BR"/>
        </w:rPr>
        <w:t>A hipótese H1b propôs que a percepção de um chamado está associada positivamente a satisfação com a vida. Isso se daria porque a percepção de um chamado levaria os indivíduos a terem uma visão mais otimista da vida diante dos fatos que se apresentam no trabalho. Esta hipótese não foi suportada. Isso sugere que a percepção de um chamado não tem relação direta e positiva com a satisfação com a vida, neste caso, indo contra os resultados encontrados em diversas pesquisas anteriores (</w:t>
      </w:r>
      <w:proofErr w:type="spellStart"/>
      <w:r w:rsidRPr="000069DC">
        <w:rPr>
          <w:rFonts w:ascii="Garamond" w:eastAsia="Times New Roman" w:hAnsi="Garamond"/>
          <w:lang w:eastAsia="pt-BR"/>
        </w:rPr>
        <w:t>Dik</w:t>
      </w:r>
      <w:proofErr w:type="spellEnd"/>
      <w:r w:rsidRPr="000069DC">
        <w:rPr>
          <w:rFonts w:ascii="Garamond" w:eastAsia="Times New Roman" w:hAnsi="Garamond"/>
          <w:lang w:eastAsia="pt-BR"/>
        </w:rPr>
        <w:t xml:space="preserve"> &amp; Duffy, 2009; </w:t>
      </w:r>
      <w:proofErr w:type="spellStart"/>
      <w:r w:rsidRPr="000069DC">
        <w:rPr>
          <w:rFonts w:ascii="Garamond" w:eastAsia="Times New Roman" w:hAnsi="Garamond"/>
          <w:lang w:eastAsia="pt-BR"/>
        </w:rPr>
        <w:t>Hirschi</w:t>
      </w:r>
      <w:proofErr w:type="spellEnd"/>
      <w:r w:rsidRPr="000069DC">
        <w:rPr>
          <w:rFonts w:ascii="Garamond" w:eastAsia="Times New Roman" w:hAnsi="Garamond"/>
          <w:lang w:eastAsia="pt-BR"/>
        </w:rPr>
        <w:t xml:space="preserve"> et al., 2019; Duffy</w:t>
      </w:r>
      <w:r w:rsidR="00397C1F">
        <w:rPr>
          <w:rFonts w:ascii="Garamond" w:eastAsia="Times New Roman" w:hAnsi="Garamond"/>
          <w:lang w:eastAsia="pt-BR"/>
        </w:rPr>
        <w:t xml:space="preserve"> </w:t>
      </w:r>
      <w:r w:rsidR="00397C1F" w:rsidRPr="00E02F46">
        <w:rPr>
          <w:rFonts w:ascii="Garamond" w:eastAsia="Times New Roman" w:hAnsi="Garamond"/>
          <w:lang w:eastAsia="pt-BR"/>
        </w:rPr>
        <w:t>et al.</w:t>
      </w:r>
      <w:r w:rsidRPr="000069DC">
        <w:rPr>
          <w:rFonts w:ascii="Garamond" w:eastAsia="Times New Roman" w:hAnsi="Garamond"/>
          <w:lang w:eastAsia="pt-BR"/>
        </w:rPr>
        <w:t>, 2012). A satisfação com a vida é algo subjetivo de cada indivíduo, e nem sempre está relacionada com o trabalho deste. Desta forma, o resultado aqui identificado pode ser reflexo de parte significativa da amostra ter sido composta por funcionários públicos (30,46%). Estes possuem certa estabilidade financeira, não dependendo do mercado de trabalho para desenvolver sua carreira e realizar seus objetivos de vida.</w:t>
      </w:r>
    </w:p>
    <w:p w14:paraId="467081F7" w14:textId="1A2B7EA8" w:rsidR="000069DC" w:rsidRPr="000069DC" w:rsidRDefault="000069DC" w:rsidP="000069DC">
      <w:pPr>
        <w:autoSpaceDE w:val="0"/>
        <w:autoSpaceDN w:val="0"/>
        <w:adjustRightInd w:val="0"/>
        <w:jc w:val="both"/>
        <w:rPr>
          <w:rFonts w:ascii="Garamond" w:eastAsia="Times New Roman" w:hAnsi="Garamond"/>
          <w:lang w:eastAsia="pt-BR"/>
        </w:rPr>
      </w:pPr>
      <w:r w:rsidRPr="000069DC">
        <w:rPr>
          <w:rFonts w:ascii="Garamond" w:eastAsia="Times New Roman" w:hAnsi="Garamond"/>
          <w:lang w:eastAsia="pt-BR"/>
        </w:rPr>
        <w:t xml:space="preserve">A hipótese H1c propôs que a percepção de um chamado está associada positivamente ao significado da vida. Essa relação seria explicada pelo fato de que trabalhadores que percebem um chamado tendem a buscar por um propósito ou significado, fato que também ocorre em indivíduos que buscam por um significado de vida, assim, estes tendem a envolver esforços para atingir objetivos, mantendo foco na carreira e aumentando a capacidade de adquirir emoções positivas. Está hipótese foi suportada. Desta maneira, a percepção de um chamado tem relação direta e positiva com significado da vida, corroborando com os resultados encontrados por Duffy et al. (2018). </w:t>
      </w:r>
    </w:p>
    <w:p w14:paraId="6536AE81" w14:textId="77777777" w:rsidR="000069DC" w:rsidRPr="000069DC" w:rsidRDefault="000069DC" w:rsidP="000069DC">
      <w:pPr>
        <w:autoSpaceDE w:val="0"/>
        <w:autoSpaceDN w:val="0"/>
        <w:adjustRightInd w:val="0"/>
        <w:jc w:val="both"/>
        <w:rPr>
          <w:rFonts w:ascii="Garamond" w:eastAsia="Times New Roman" w:hAnsi="Garamond"/>
          <w:lang w:eastAsia="pt-BR"/>
        </w:rPr>
      </w:pPr>
      <w:r w:rsidRPr="000069DC">
        <w:rPr>
          <w:rFonts w:ascii="Garamond" w:eastAsia="Times New Roman" w:hAnsi="Garamond"/>
          <w:lang w:eastAsia="pt-BR"/>
        </w:rPr>
        <w:t xml:space="preserve">A hipótese H1d propôs que a percepção de um chamado está associada positivamente ao bem-estar existencial.  A explicação seria de que a percepção de um chamado tem efeitos no bem-estar existencial do indivíduo fazendo com que este tenha uma maior motivação no trabalho. Neste estudo, esta hipótese não foi suportada. Isso demonstra que para esta amostra, a percepção de um chamado não tem relação direta e positiva com o bem-estar existencial, neste caso não corroborando com os achados de </w:t>
      </w:r>
      <w:proofErr w:type="spellStart"/>
      <w:r w:rsidRPr="000069DC">
        <w:rPr>
          <w:rFonts w:ascii="Garamond" w:eastAsia="Times New Roman" w:hAnsi="Garamond"/>
          <w:lang w:eastAsia="pt-BR"/>
        </w:rPr>
        <w:t>Steger</w:t>
      </w:r>
      <w:proofErr w:type="spellEnd"/>
      <w:r w:rsidRPr="000069DC">
        <w:rPr>
          <w:rFonts w:ascii="Garamond" w:eastAsia="Times New Roman" w:hAnsi="Garamond"/>
          <w:lang w:eastAsia="pt-BR"/>
        </w:rPr>
        <w:t xml:space="preserve"> et al. (2010). </w:t>
      </w:r>
    </w:p>
    <w:p w14:paraId="7DD17987" w14:textId="4F80B0AF" w:rsidR="000069DC" w:rsidRPr="000069DC" w:rsidRDefault="000069DC" w:rsidP="000069DC">
      <w:pPr>
        <w:autoSpaceDE w:val="0"/>
        <w:autoSpaceDN w:val="0"/>
        <w:adjustRightInd w:val="0"/>
        <w:jc w:val="both"/>
        <w:rPr>
          <w:rFonts w:ascii="Garamond" w:eastAsia="Times New Roman" w:hAnsi="Garamond"/>
          <w:lang w:eastAsia="pt-BR"/>
        </w:rPr>
      </w:pPr>
      <w:r w:rsidRPr="000069DC">
        <w:rPr>
          <w:rFonts w:ascii="Garamond" w:eastAsia="Times New Roman" w:hAnsi="Garamond"/>
          <w:lang w:eastAsia="pt-BR"/>
        </w:rPr>
        <w:t xml:space="preserve">A hipótese H1e propôs que a percepção de um chamado está associada positivamente ao comprometimento com a carreira. Isto se daria pelo fato de que indivíduos que percebem um chamado tendem a se manter comprometidos, mesmo em circunstâncias desfavoráveis. Esta relação proposta </w:t>
      </w:r>
      <w:r w:rsidRPr="000069DC">
        <w:rPr>
          <w:rFonts w:ascii="Garamond" w:eastAsia="Times New Roman" w:hAnsi="Garamond"/>
          <w:lang w:eastAsia="pt-BR"/>
        </w:rPr>
        <w:lastRenderedPageBreak/>
        <w:t xml:space="preserve">não foi suportada. O que indica que a percepção de um chamado não tem relação direta e positiva com o comprometimento com a carreira, para esta amostra, e neste caso contrariando os achados de </w:t>
      </w:r>
      <w:proofErr w:type="spellStart"/>
      <w:r w:rsidRPr="000069DC">
        <w:rPr>
          <w:rFonts w:ascii="Garamond" w:eastAsia="Times New Roman" w:hAnsi="Garamond"/>
          <w:lang w:eastAsia="pt-BR"/>
        </w:rPr>
        <w:t>Elangovan</w:t>
      </w:r>
      <w:proofErr w:type="spellEnd"/>
      <w:r w:rsidR="00397C1F">
        <w:rPr>
          <w:rFonts w:ascii="Garamond" w:eastAsia="Times New Roman" w:hAnsi="Garamond"/>
          <w:lang w:eastAsia="pt-BR"/>
        </w:rPr>
        <w:t xml:space="preserve"> </w:t>
      </w:r>
      <w:r w:rsidR="00397C1F" w:rsidRPr="00E02F46">
        <w:rPr>
          <w:rFonts w:ascii="Garamond" w:eastAsia="Times New Roman" w:hAnsi="Garamond"/>
          <w:lang w:eastAsia="pt-BR"/>
        </w:rPr>
        <w:t xml:space="preserve">et al. </w:t>
      </w:r>
      <w:r w:rsidRPr="000069DC">
        <w:rPr>
          <w:rFonts w:ascii="Garamond" w:eastAsia="Times New Roman" w:hAnsi="Garamond"/>
          <w:lang w:eastAsia="pt-BR"/>
        </w:rPr>
        <w:t xml:space="preserve">(2010). Em síntese, este resultado pode ter relação com a variedade de profissões presentes na amostra, tendo em vista que grande parte dos estudos anteriores obtiveram resultados positivos entre perceber um chamado e comprometimento com a carreira selecionando profissões específicas, como foi o caso com enfermeiros do estudo de </w:t>
      </w:r>
      <w:proofErr w:type="spellStart"/>
      <w:r w:rsidRPr="000069DC">
        <w:rPr>
          <w:rFonts w:ascii="Garamond" w:eastAsia="Times New Roman" w:hAnsi="Garamond"/>
          <w:lang w:eastAsia="pt-BR"/>
        </w:rPr>
        <w:t>Afsar</w:t>
      </w:r>
      <w:proofErr w:type="spellEnd"/>
      <w:r w:rsidR="00397C1F">
        <w:rPr>
          <w:rFonts w:ascii="Garamond" w:eastAsia="Times New Roman" w:hAnsi="Garamond"/>
          <w:lang w:eastAsia="pt-BR"/>
        </w:rPr>
        <w:t xml:space="preserve"> </w:t>
      </w:r>
      <w:r w:rsidR="00397C1F" w:rsidRPr="00E02F46">
        <w:rPr>
          <w:rFonts w:ascii="Garamond" w:eastAsia="Times New Roman" w:hAnsi="Garamond"/>
          <w:lang w:eastAsia="pt-BR"/>
        </w:rPr>
        <w:t xml:space="preserve">et al. </w:t>
      </w:r>
      <w:r w:rsidRPr="000069DC">
        <w:rPr>
          <w:rFonts w:ascii="Garamond" w:eastAsia="Times New Roman" w:hAnsi="Garamond"/>
          <w:lang w:eastAsia="pt-BR"/>
        </w:rPr>
        <w:t>(2019), profissão está que tem uma associação com chamado ocupacional.</w:t>
      </w:r>
    </w:p>
    <w:p w14:paraId="68303B1C" w14:textId="77777777" w:rsidR="000069DC" w:rsidRPr="000069DC" w:rsidRDefault="000069DC" w:rsidP="000069DC">
      <w:pPr>
        <w:autoSpaceDE w:val="0"/>
        <w:autoSpaceDN w:val="0"/>
        <w:adjustRightInd w:val="0"/>
        <w:jc w:val="both"/>
        <w:rPr>
          <w:rFonts w:ascii="Garamond" w:eastAsia="Times New Roman" w:hAnsi="Garamond"/>
          <w:lang w:eastAsia="pt-BR"/>
        </w:rPr>
      </w:pPr>
      <w:r w:rsidRPr="000069DC">
        <w:rPr>
          <w:rFonts w:ascii="Garamond" w:eastAsia="Times New Roman" w:hAnsi="Garamond"/>
          <w:lang w:eastAsia="pt-BR"/>
        </w:rPr>
        <w:t xml:space="preserve">Adicionalmente, foram analisados os efeitos moderadores de viver um chamado nas relações diretas propostas. Vários estudos apontam que o simples fato de perceber um chamado não seria suficiente para que se alcancem resultados positivos no trabalho e na vida (Duffy et al., 2012; </w:t>
      </w:r>
      <w:proofErr w:type="spellStart"/>
      <w:r w:rsidRPr="000069DC">
        <w:rPr>
          <w:rFonts w:ascii="Garamond" w:eastAsia="Times New Roman" w:hAnsi="Garamond"/>
          <w:lang w:eastAsia="pt-BR"/>
        </w:rPr>
        <w:t>Gazica</w:t>
      </w:r>
      <w:proofErr w:type="spellEnd"/>
      <w:r w:rsidRPr="000069DC">
        <w:rPr>
          <w:rFonts w:ascii="Garamond" w:eastAsia="Times New Roman" w:hAnsi="Garamond"/>
          <w:lang w:eastAsia="pt-BR"/>
        </w:rPr>
        <w:t xml:space="preserve"> &amp; Spector, 2015; Douglass et al., 2016; </w:t>
      </w:r>
      <w:proofErr w:type="spellStart"/>
      <w:r w:rsidRPr="000069DC">
        <w:rPr>
          <w:rFonts w:ascii="Garamond" w:eastAsia="Times New Roman" w:hAnsi="Garamond"/>
          <w:lang w:eastAsia="pt-BR"/>
        </w:rPr>
        <w:t>Hirschi</w:t>
      </w:r>
      <w:proofErr w:type="spellEnd"/>
      <w:r w:rsidRPr="000069DC">
        <w:rPr>
          <w:rFonts w:ascii="Garamond" w:eastAsia="Times New Roman" w:hAnsi="Garamond"/>
          <w:lang w:eastAsia="pt-BR"/>
        </w:rPr>
        <w:t xml:space="preserve"> et al., 2019). Diante disso, este estudo buscou verificar se a vivência de um chamado intensificaria o resultado da percepção de um chamado. </w:t>
      </w:r>
    </w:p>
    <w:p w14:paraId="1D587FCF" w14:textId="77777777" w:rsidR="000069DC" w:rsidRPr="000069DC" w:rsidRDefault="000069DC" w:rsidP="000069DC">
      <w:pPr>
        <w:autoSpaceDE w:val="0"/>
        <w:autoSpaceDN w:val="0"/>
        <w:adjustRightInd w:val="0"/>
        <w:jc w:val="both"/>
        <w:rPr>
          <w:rFonts w:ascii="Garamond" w:eastAsia="Times New Roman" w:hAnsi="Garamond"/>
          <w:lang w:eastAsia="pt-BR"/>
        </w:rPr>
      </w:pPr>
      <w:r w:rsidRPr="000069DC">
        <w:rPr>
          <w:rFonts w:ascii="Garamond" w:eastAsia="Times New Roman" w:hAnsi="Garamond"/>
          <w:lang w:eastAsia="pt-BR"/>
        </w:rPr>
        <w:t xml:space="preserve">As hipóteses H2a e H2b propuseram um efeito de moderação da vivência de um chamado nas relações entre perceber um chamado e as variáveis de satisfação no trabalho (H2a) e satisfação com a vida (H2b). A explicação para isso seria de que um chamado percebido só seria benéfico no trabalho e na vida, caso este fosse atendido. As duas hipóteses foram suportadas, corroborando com os achados de </w:t>
      </w:r>
      <w:proofErr w:type="spellStart"/>
      <w:r w:rsidRPr="000069DC">
        <w:rPr>
          <w:rFonts w:ascii="Garamond" w:eastAsia="Times New Roman" w:hAnsi="Garamond"/>
          <w:lang w:eastAsia="pt-BR"/>
        </w:rPr>
        <w:t>Gazica</w:t>
      </w:r>
      <w:proofErr w:type="spellEnd"/>
      <w:r w:rsidRPr="000069DC">
        <w:rPr>
          <w:rFonts w:ascii="Garamond" w:eastAsia="Times New Roman" w:hAnsi="Garamond"/>
          <w:lang w:eastAsia="pt-BR"/>
        </w:rPr>
        <w:t xml:space="preserve"> e Spector (2015). Estes resultados sugerem que a vivência de um chamado é de fundamental importância para que os trabalhadores alcancem a satisfação no trabalho e na vida. Diante disso, sugere-se aos profissionais de RH que incentivem seus funcionários a </w:t>
      </w:r>
      <w:proofErr w:type="gramStart"/>
      <w:r w:rsidRPr="000069DC">
        <w:rPr>
          <w:rFonts w:ascii="Garamond" w:eastAsia="Times New Roman" w:hAnsi="Garamond"/>
          <w:lang w:eastAsia="pt-BR"/>
        </w:rPr>
        <w:t>viver</w:t>
      </w:r>
      <w:proofErr w:type="gramEnd"/>
      <w:r w:rsidRPr="000069DC">
        <w:rPr>
          <w:rFonts w:ascii="Garamond" w:eastAsia="Times New Roman" w:hAnsi="Garamond"/>
          <w:lang w:eastAsia="pt-BR"/>
        </w:rPr>
        <w:t xml:space="preserve"> seus chamados no trabalho, tendo em vista que vários resultados podem ser alcançados, como o aumento da produtividade, a redução de efeitos indesejados como sofrimento psicológico e a intenção de absenteísmo.</w:t>
      </w:r>
    </w:p>
    <w:p w14:paraId="672BEB7C" w14:textId="77777777" w:rsidR="000069DC" w:rsidRPr="000069DC" w:rsidRDefault="000069DC" w:rsidP="000069DC">
      <w:pPr>
        <w:autoSpaceDE w:val="0"/>
        <w:autoSpaceDN w:val="0"/>
        <w:adjustRightInd w:val="0"/>
        <w:jc w:val="both"/>
        <w:rPr>
          <w:rFonts w:ascii="Garamond" w:eastAsia="Times New Roman" w:hAnsi="Garamond"/>
          <w:lang w:eastAsia="pt-BR"/>
        </w:rPr>
      </w:pPr>
      <w:r w:rsidRPr="000069DC">
        <w:rPr>
          <w:rFonts w:ascii="Garamond" w:eastAsia="Times New Roman" w:hAnsi="Garamond"/>
          <w:lang w:eastAsia="pt-BR"/>
        </w:rPr>
        <w:t xml:space="preserve">No que concerne, a hipótese H2c, que verificou o efeito moderação da vivência de um chamado na relação entre perceber um chamado e a variável significado da vida. A hipótese não foi suportada, indo contra os achados de Duffy et al. (2017). Este resultado sugere que, na presente amostra, viver um chamado não ampliou os efeitos da relação direta entra perceber um chamado e o significado da vida. Uma possível explicação para o resultado ter ido contra o encontrado por estes autores foi que estes indivíduos pesquisados percebem o chamado e isso impacta no seu significado da vida, mas pode ser que os mesmos não vivenciem o chamado no trabalho. </w:t>
      </w:r>
    </w:p>
    <w:p w14:paraId="1AF5D23C" w14:textId="77777777" w:rsidR="000069DC" w:rsidRPr="000069DC" w:rsidRDefault="000069DC" w:rsidP="000069DC">
      <w:pPr>
        <w:autoSpaceDE w:val="0"/>
        <w:autoSpaceDN w:val="0"/>
        <w:adjustRightInd w:val="0"/>
        <w:jc w:val="both"/>
        <w:rPr>
          <w:rFonts w:ascii="Garamond" w:eastAsia="Times New Roman" w:hAnsi="Garamond"/>
          <w:lang w:eastAsia="pt-BR"/>
        </w:rPr>
      </w:pPr>
      <w:r w:rsidRPr="000069DC">
        <w:rPr>
          <w:rFonts w:ascii="Garamond" w:eastAsia="Times New Roman" w:hAnsi="Garamond"/>
          <w:lang w:eastAsia="pt-BR"/>
        </w:rPr>
        <w:t xml:space="preserve">Com relação a hipótese H2d, que propôs o efeito de moderação da vivência de um chamado na relação entre perceber um chamado e a variável bem-estar existencial. Sendo está relação suportada. Isso corrobora com os achados de </w:t>
      </w:r>
      <w:proofErr w:type="spellStart"/>
      <w:r w:rsidRPr="000069DC">
        <w:rPr>
          <w:rFonts w:ascii="Garamond" w:eastAsia="Times New Roman" w:hAnsi="Garamond"/>
          <w:lang w:eastAsia="pt-BR"/>
        </w:rPr>
        <w:t>Steger</w:t>
      </w:r>
      <w:proofErr w:type="spellEnd"/>
      <w:r w:rsidRPr="000069DC">
        <w:rPr>
          <w:rFonts w:ascii="Garamond" w:eastAsia="Times New Roman" w:hAnsi="Garamond"/>
          <w:lang w:eastAsia="pt-BR"/>
        </w:rPr>
        <w:t xml:space="preserve"> et al. (2010) e sugere que viver um chamado intensifica a relação entre perceber um chamado e bem-estar existencial. </w:t>
      </w:r>
    </w:p>
    <w:p w14:paraId="638F07A2" w14:textId="77777777" w:rsidR="000069DC" w:rsidRPr="000069DC" w:rsidRDefault="000069DC" w:rsidP="000069DC">
      <w:pPr>
        <w:autoSpaceDE w:val="0"/>
        <w:autoSpaceDN w:val="0"/>
        <w:adjustRightInd w:val="0"/>
        <w:jc w:val="both"/>
        <w:rPr>
          <w:rFonts w:ascii="Garamond" w:eastAsia="Times New Roman" w:hAnsi="Garamond"/>
          <w:lang w:eastAsia="pt-BR"/>
        </w:rPr>
      </w:pPr>
      <w:r w:rsidRPr="000069DC">
        <w:rPr>
          <w:rFonts w:ascii="Garamond" w:eastAsia="Times New Roman" w:hAnsi="Garamond"/>
          <w:lang w:eastAsia="pt-BR"/>
        </w:rPr>
        <w:t xml:space="preserve">Já a hipótese H2e, verificou o efeito da moderação da vivência de um chamado na relação entre perceber um chamado e a variável comprometimento com a carreira, isto se daria pelo fato de que a viver um chamado potencializaria os resultados de percepção de um chamado no comprometimento com a carreira. A hipótese não foi suportada, indo contra os achados de Duffy et al. (2012). Estes resultados sugerem que a vivência de um chamado não intensifica a relação entre perceber um chamado e o comprometimento com a carreira. </w:t>
      </w:r>
    </w:p>
    <w:p w14:paraId="406B3DDE" w14:textId="3902B7B3" w:rsidR="009F6351" w:rsidRPr="004F5E05" w:rsidRDefault="000069DC" w:rsidP="000069DC">
      <w:pPr>
        <w:autoSpaceDE w:val="0"/>
        <w:autoSpaceDN w:val="0"/>
        <w:adjustRightInd w:val="0"/>
        <w:jc w:val="both"/>
        <w:rPr>
          <w:rFonts w:ascii="Garamond" w:hAnsi="Garamond"/>
          <w:b/>
          <w:sz w:val="28"/>
          <w:szCs w:val="28"/>
          <w:lang w:eastAsia="pt-BR"/>
        </w:rPr>
      </w:pPr>
      <w:r w:rsidRPr="000069DC">
        <w:rPr>
          <w:rFonts w:ascii="Garamond" w:eastAsia="Times New Roman" w:hAnsi="Garamond"/>
          <w:lang w:eastAsia="pt-BR"/>
        </w:rPr>
        <w:t>Em resumo, percebeu-se que perceber um chamado tem relação positiva com o significado da vida, porém esta relação não é moderada por viver um chamado. Por outro lado, os construtos de satisfação no trabalho, satisfação com a vida e bem-estar existencial, ainda que tenham sua relação com a percepção de um chamado moderada pela vivência de um chamado, suas relações diretas com a percepção de um chamado não foram significativas. Por fim, o construto de comprometimento com a carreira não foi significativo em ambas às relações, seja direta ou via efeito moderador.</w:t>
      </w:r>
    </w:p>
    <w:p w14:paraId="1AEEB0E7" w14:textId="77777777" w:rsidR="007933AA" w:rsidRDefault="007933AA">
      <w:pPr>
        <w:spacing w:after="0"/>
        <w:rPr>
          <w:rFonts w:ascii="Garamond" w:hAnsi="Garamond"/>
          <w:b/>
          <w:sz w:val="28"/>
          <w:szCs w:val="28"/>
          <w:lang w:eastAsia="pt-BR"/>
        </w:rPr>
      </w:pPr>
      <w:r>
        <w:rPr>
          <w:rFonts w:ascii="Garamond" w:hAnsi="Garamond"/>
          <w:b/>
          <w:sz w:val="28"/>
          <w:szCs w:val="28"/>
          <w:lang w:eastAsia="pt-BR"/>
        </w:rPr>
        <w:br w:type="page"/>
      </w:r>
    </w:p>
    <w:p w14:paraId="6D31428A" w14:textId="3912A272" w:rsidR="00584A2B" w:rsidRPr="004F5E05" w:rsidRDefault="00584A2B" w:rsidP="00584A2B">
      <w:pPr>
        <w:autoSpaceDE w:val="0"/>
        <w:autoSpaceDN w:val="0"/>
        <w:adjustRightInd w:val="0"/>
        <w:jc w:val="both"/>
        <w:rPr>
          <w:rFonts w:ascii="Garamond" w:hAnsi="Garamond"/>
          <w:b/>
          <w:sz w:val="28"/>
          <w:szCs w:val="28"/>
          <w:lang w:eastAsia="pt-BR"/>
        </w:rPr>
      </w:pPr>
      <w:r w:rsidRPr="004F5E05">
        <w:rPr>
          <w:rFonts w:ascii="Garamond" w:hAnsi="Garamond"/>
          <w:b/>
          <w:sz w:val="28"/>
          <w:szCs w:val="28"/>
          <w:lang w:eastAsia="pt-BR"/>
        </w:rPr>
        <w:lastRenderedPageBreak/>
        <w:t>Considerações finais</w:t>
      </w:r>
    </w:p>
    <w:p w14:paraId="0C3E4395" w14:textId="77777777" w:rsidR="00302A52" w:rsidRPr="00302A52" w:rsidRDefault="00302A52" w:rsidP="00302A52">
      <w:pPr>
        <w:autoSpaceDE w:val="0"/>
        <w:autoSpaceDN w:val="0"/>
        <w:adjustRightInd w:val="0"/>
        <w:jc w:val="both"/>
        <w:rPr>
          <w:rFonts w:ascii="Garamond" w:eastAsia="Times New Roman" w:hAnsi="Garamond"/>
          <w:lang w:eastAsia="pt-BR"/>
        </w:rPr>
      </w:pPr>
      <w:r w:rsidRPr="00302A52">
        <w:rPr>
          <w:rFonts w:ascii="Garamond" w:eastAsia="Times New Roman" w:hAnsi="Garamond"/>
          <w:lang w:eastAsia="pt-BR"/>
        </w:rPr>
        <w:t>Esta pesquisa teve como objetivo analisar o papel moderador da vivência de um chamado nas relações diretas entre perceber um chamado e satisfação no trabalho, satisfação com a vida, significado da vida, bem-estar existencial e compromisso com a carreira. Desta forma, os resultados demonstraram que a relação direta proposta entre perceber um chamado e significado da vida foi suportada. Porém, as relações diretas entre perceber um chamado com satisfação no trabalho, satisfação com a vida, bem-estar existencial e comprometimento com a carreira não foram suportadas. Ainda, em relação ao efeito moderador de viver um chamado nas relações entre perceber um chamado com satisfação no trabalho, satisfação com a vida e bem-estar existencial foram suportadas. Isso reforça que viver um chamado intensifica a força destas relações propostas. Por outro lado, a moderação de viver um chamado nas relações entre perceber um chamado com significado da vida e comprometimento com a carreira não foram suportadas, logo, viver um chamado não intensifica o efeito destas relações. Assim, conclui-se a partir do modelo proposto dos cinco consequentes de perceber um chamado, apenas um foi significativo, o significado da vida.</w:t>
      </w:r>
    </w:p>
    <w:p w14:paraId="4BB3724F" w14:textId="17AB2211" w:rsidR="00302A52" w:rsidRPr="00302A52" w:rsidRDefault="00302A52" w:rsidP="00302A52">
      <w:pPr>
        <w:autoSpaceDE w:val="0"/>
        <w:autoSpaceDN w:val="0"/>
        <w:adjustRightInd w:val="0"/>
        <w:jc w:val="both"/>
        <w:rPr>
          <w:rFonts w:ascii="Garamond" w:eastAsia="Times New Roman" w:hAnsi="Garamond"/>
          <w:lang w:eastAsia="pt-BR"/>
        </w:rPr>
      </w:pPr>
      <w:r w:rsidRPr="00302A52">
        <w:rPr>
          <w:rFonts w:ascii="Garamond" w:eastAsia="Times New Roman" w:hAnsi="Garamond"/>
          <w:lang w:eastAsia="pt-BR"/>
        </w:rPr>
        <w:t xml:space="preserve">O estudo contribui com a teoria, pois ao analisar o efeito de moderação da vivência de um chamado nos consequentes de perceber um chamado, ampliou a discussão presente no estudo de </w:t>
      </w:r>
      <w:proofErr w:type="spellStart"/>
      <w:r w:rsidRPr="00302A52">
        <w:rPr>
          <w:rFonts w:ascii="Garamond" w:eastAsia="Times New Roman" w:hAnsi="Garamond"/>
          <w:lang w:eastAsia="pt-BR"/>
        </w:rPr>
        <w:t>Gazica</w:t>
      </w:r>
      <w:proofErr w:type="spellEnd"/>
      <w:r w:rsidRPr="00302A52">
        <w:rPr>
          <w:rFonts w:ascii="Garamond" w:eastAsia="Times New Roman" w:hAnsi="Garamond"/>
          <w:lang w:eastAsia="pt-BR"/>
        </w:rPr>
        <w:t xml:space="preserve"> e Spector (2015), onde se aponta que um chamado só é benéfico se for atendido, ou seja, vivenciado. Outra contribuição foi à adição do construto bem-estar existencial ao modelo proposto, até então pouco utilizado na literatura de chamados ocupacionais. Além disso, a pesquisa foi realizada unicamente no contexto brasileiro e sem distinção de profissões. Dado que os estudos anteriores foram efetuados na sua maioria em países desenvolvidos e com profissões e/ou segmentos específicos. </w:t>
      </w:r>
    </w:p>
    <w:p w14:paraId="3E352FF8" w14:textId="1B4691B6" w:rsidR="00302A52" w:rsidRPr="00302A52" w:rsidRDefault="00302A52" w:rsidP="00302A52">
      <w:pPr>
        <w:autoSpaceDE w:val="0"/>
        <w:autoSpaceDN w:val="0"/>
        <w:adjustRightInd w:val="0"/>
        <w:jc w:val="both"/>
        <w:rPr>
          <w:rFonts w:ascii="Garamond" w:eastAsia="Times New Roman" w:hAnsi="Garamond"/>
          <w:lang w:eastAsia="pt-BR"/>
        </w:rPr>
      </w:pPr>
      <w:r w:rsidRPr="00302A52">
        <w:rPr>
          <w:rFonts w:ascii="Garamond" w:eastAsia="Times New Roman" w:hAnsi="Garamond"/>
          <w:lang w:eastAsia="pt-BR"/>
        </w:rPr>
        <w:t xml:space="preserve">Em relação às contribuições práticas, este estudo fornece elementos para os gestores e profissionais de recursos humanos avaliarem a possibilidade contratação de funcionários com presença de um chamado, tendo em vista os possíveis resultados positivos relacionados ao significado da vida dos trabalhadores. Além disso, ainda como contribuição para a prática, a relação entre perceber um chamado e a satisfação no trabalho foi negativa e significativa, ou seja, perceber um chamado pode levar o indivíduo a estar insatisfeito no trabalho. Desta forma, este resultado pode dar suporte para que gestores decidam se é interessante incentivar o cumprimento de um chamado, no ambiente de trabalho ou mesmo que em outra atividade. Para isso, podem fornecer treinamentos para os funcionários, com foco a reforçar a importância da sua função/atividade para a empresa e ainda ajudá-los a identificar o seu chamado ocupacional. Os resultados desta pesquisa também podem ser úteis para </w:t>
      </w:r>
      <w:proofErr w:type="spellStart"/>
      <w:r w:rsidRPr="008F4550">
        <w:rPr>
          <w:rFonts w:ascii="Garamond" w:eastAsia="Times New Roman" w:hAnsi="Garamond"/>
          <w:i/>
          <w:iCs/>
          <w:lang w:eastAsia="pt-BR"/>
        </w:rPr>
        <w:t>coaches</w:t>
      </w:r>
      <w:proofErr w:type="spellEnd"/>
      <w:r w:rsidRPr="00302A52">
        <w:rPr>
          <w:rFonts w:ascii="Garamond" w:eastAsia="Times New Roman" w:hAnsi="Garamond"/>
          <w:lang w:eastAsia="pt-BR"/>
        </w:rPr>
        <w:t xml:space="preserve"> e mentores de carreira auxiliarem seus clientes no desenvolvimento do plano de carreira ou mudança de carreira. </w:t>
      </w:r>
    </w:p>
    <w:p w14:paraId="197E0CD2" w14:textId="7D50BB0C" w:rsidR="00302A52" w:rsidRPr="00302A52" w:rsidRDefault="00302A52" w:rsidP="00302A52">
      <w:pPr>
        <w:autoSpaceDE w:val="0"/>
        <w:autoSpaceDN w:val="0"/>
        <w:adjustRightInd w:val="0"/>
        <w:jc w:val="both"/>
        <w:rPr>
          <w:rFonts w:ascii="Garamond" w:eastAsia="Times New Roman" w:hAnsi="Garamond"/>
          <w:lang w:eastAsia="pt-BR"/>
        </w:rPr>
      </w:pPr>
      <w:r w:rsidRPr="00302A52">
        <w:rPr>
          <w:rFonts w:ascii="Garamond" w:eastAsia="Times New Roman" w:hAnsi="Garamond"/>
          <w:lang w:eastAsia="pt-BR"/>
        </w:rPr>
        <w:t>Este estudo possui algumas limitações. A primeira delas está relacionada à amostragem, ou seja, foi realizada uma pesquisa com amostra não probabilística por acessibilidade, não permitindo assim a generalização dos resultados. Outro fator foi o fato de boa parte de amostra, 30,46%, ter vínculo de trabalho de servidor público onde existe estabilidade e plano de carreira, dado que isso pode ter impactado na análise dos resultados.</w:t>
      </w:r>
    </w:p>
    <w:p w14:paraId="0814BD6A" w14:textId="64C88EA0" w:rsidR="009F6351" w:rsidRPr="00302A52" w:rsidRDefault="00302A52" w:rsidP="009F6351">
      <w:pPr>
        <w:autoSpaceDE w:val="0"/>
        <w:autoSpaceDN w:val="0"/>
        <w:adjustRightInd w:val="0"/>
        <w:jc w:val="both"/>
        <w:rPr>
          <w:rFonts w:ascii="Garamond" w:eastAsia="Times New Roman" w:hAnsi="Garamond"/>
          <w:lang w:eastAsia="pt-BR"/>
        </w:rPr>
      </w:pPr>
      <w:r w:rsidRPr="00302A52">
        <w:rPr>
          <w:rFonts w:ascii="Garamond" w:eastAsia="Times New Roman" w:hAnsi="Garamond"/>
          <w:lang w:eastAsia="pt-BR"/>
        </w:rPr>
        <w:t xml:space="preserve">Sugere-se que pesquisas futuras confirmem estas relações com uma amostra probabilística. Ainda, agregar novos construtos ao modelo proposto, como: intenção de rotatividade, comportamento desviante, compromisso organizacional e dentre outros. Outra sugestão seria replicar o modelo em outros países emergentes ou em países desenvolvidos. Além disso, outra sugestão é pesquisar profissões ou setores específicos, a fim de verificar os efeitos de perceber um chamado com estes profissionais ou setores. Por fim, pode-se também realizar uma análise </w:t>
      </w:r>
      <w:proofErr w:type="spellStart"/>
      <w:r w:rsidRPr="00302A52">
        <w:rPr>
          <w:rFonts w:ascii="Garamond" w:eastAsia="Times New Roman" w:hAnsi="Garamond"/>
          <w:lang w:eastAsia="pt-BR"/>
        </w:rPr>
        <w:t>multigrupos</w:t>
      </w:r>
      <w:proofErr w:type="spellEnd"/>
      <w:r w:rsidRPr="00302A52">
        <w:rPr>
          <w:rFonts w:ascii="Garamond" w:eastAsia="Times New Roman" w:hAnsi="Garamond"/>
          <w:lang w:eastAsia="pt-BR"/>
        </w:rPr>
        <w:t>, a fim de comparar se funcionários de empresas privadas e empresas públicas têm percepções diferentes quanto ao modelo proposto.</w:t>
      </w:r>
    </w:p>
    <w:p w14:paraId="1EB33193" w14:textId="7E8F3D93" w:rsidR="00584A2B" w:rsidRDefault="00584A2B" w:rsidP="00584A2B">
      <w:pPr>
        <w:autoSpaceDE w:val="0"/>
        <w:autoSpaceDN w:val="0"/>
        <w:adjustRightInd w:val="0"/>
        <w:jc w:val="both"/>
        <w:rPr>
          <w:rFonts w:ascii="Garamond" w:hAnsi="Garamond"/>
          <w:b/>
          <w:sz w:val="28"/>
          <w:szCs w:val="28"/>
          <w:lang w:eastAsia="pt-BR"/>
        </w:rPr>
      </w:pPr>
      <w:r w:rsidRPr="004F5E05">
        <w:rPr>
          <w:rFonts w:ascii="Garamond" w:hAnsi="Garamond"/>
          <w:b/>
          <w:sz w:val="28"/>
          <w:szCs w:val="28"/>
          <w:lang w:eastAsia="pt-BR"/>
        </w:rPr>
        <w:t xml:space="preserve">Referências </w:t>
      </w:r>
    </w:p>
    <w:p w14:paraId="381CC957" w14:textId="77777777" w:rsidR="00631A72" w:rsidRPr="00397C1F" w:rsidRDefault="00631A72" w:rsidP="00D37663">
      <w:pPr>
        <w:tabs>
          <w:tab w:val="left" w:pos="851"/>
        </w:tabs>
        <w:spacing w:after="0"/>
        <w:ind w:left="426" w:hanging="426"/>
        <w:rPr>
          <w:rFonts w:ascii="Garamond" w:hAnsi="Garamond" w:cs="Arial"/>
          <w:color w:val="000000"/>
          <w:u w:val="single"/>
          <w:lang w:val="en-US"/>
        </w:rPr>
      </w:pPr>
      <w:proofErr w:type="spellStart"/>
      <w:r w:rsidRPr="00E342B1">
        <w:rPr>
          <w:rFonts w:ascii="Garamond" w:hAnsi="Garamond" w:cs="Arial"/>
          <w:color w:val="000000"/>
        </w:rPr>
        <w:lastRenderedPageBreak/>
        <w:t>Afsar</w:t>
      </w:r>
      <w:proofErr w:type="spellEnd"/>
      <w:r w:rsidRPr="00E342B1">
        <w:rPr>
          <w:rFonts w:ascii="Garamond" w:hAnsi="Garamond" w:cs="Arial"/>
          <w:color w:val="000000"/>
        </w:rPr>
        <w:t xml:space="preserve">, B., </w:t>
      </w:r>
      <w:proofErr w:type="spellStart"/>
      <w:r w:rsidRPr="00E342B1">
        <w:rPr>
          <w:rFonts w:ascii="Garamond" w:hAnsi="Garamond" w:cs="Arial"/>
          <w:color w:val="000000"/>
        </w:rPr>
        <w:t>Umrani</w:t>
      </w:r>
      <w:proofErr w:type="spellEnd"/>
      <w:r w:rsidRPr="00E342B1">
        <w:rPr>
          <w:rFonts w:ascii="Garamond" w:hAnsi="Garamond" w:cs="Arial"/>
          <w:color w:val="000000"/>
        </w:rPr>
        <w:t xml:space="preserve">, W. A., &amp; Khan, A. (2019). </w:t>
      </w:r>
      <w:r w:rsidRPr="001E6EA3">
        <w:rPr>
          <w:rFonts w:ascii="Garamond" w:hAnsi="Garamond" w:cs="Arial"/>
          <w:color w:val="000000"/>
          <w:lang w:val="en-US"/>
        </w:rPr>
        <w:t xml:space="preserve">The impact of perceived calling on work outcomes in a nursing context: The role of career commitment and living one’s calling. </w:t>
      </w:r>
      <w:r w:rsidRPr="001E6EA3">
        <w:rPr>
          <w:rFonts w:ascii="Garamond" w:hAnsi="Garamond" w:cs="Arial"/>
          <w:i/>
          <w:color w:val="000000"/>
          <w:lang w:val="en-US"/>
        </w:rPr>
        <w:t>Journal of Applied Biobehavioral Research</w:t>
      </w:r>
      <w:r w:rsidRPr="001E6EA3">
        <w:rPr>
          <w:rFonts w:ascii="Garamond" w:hAnsi="Garamond" w:cs="Arial"/>
          <w:color w:val="000000"/>
          <w:lang w:val="en-US"/>
        </w:rPr>
        <w:t xml:space="preserve">, </w:t>
      </w:r>
      <w:r w:rsidRPr="001E6EA3">
        <w:rPr>
          <w:rFonts w:ascii="Garamond" w:hAnsi="Garamond" w:cs="Arial"/>
          <w:i/>
          <w:iCs/>
          <w:lang w:val="en-US"/>
        </w:rPr>
        <w:t>24</w:t>
      </w:r>
      <w:r w:rsidRPr="001E6EA3">
        <w:rPr>
          <w:rFonts w:ascii="Garamond" w:hAnsi="Garamond" w:cs="Arial"/>
          <w:color w:val="000000"/>
          <w:lang w:val="en-US"/>
        </w:rPr>
        <w:t>(1), 1-18.</w:t>
      </w:r>
    </w:p>
    <w:p w14:paraId="4364DA95"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Ali, F., </w:t>
      </w:r>
      <w:proofErr w:type="spellStart"/>
      <w:r w:rsidRPr="001E6EA3">
        <w:rPr>
          <w:rFonts w:ascii="Garamond" w:hAnsi="Garamond" w:cs="Arial"/>
          <w:color w:val="000000"/>
          <w:lang w:val="en-US"/>
        </w:rPr>
        <w:t>Rasoolimanesh</w:t>
      </w:r>
      <w:proofErr w:type="spellEnd"/>
      <w:r w:rsidRPr="001E6EA3">
        <w:rPr>
          <w:rFonts w:ascii="Garamond" w:hAnsi="Garamond" w:cs="Arial"/>
          <w:color w:val="000000"/>
          <w:lang w:val="en-US"/>
        </w:rPr>
        <w:t xml:space="preserve">, S. M., Sarstedt, M., Ringle, C. M., &amp; Ryu, K. (2018). An assessment of the use of partial least squares structural equation modeling (PLS-SEM) in hospitality research. </w:t>
      </w:r>
      <w:r w:rsidRPr="001E6EA3">
        <w:rPr>
          <w:rFonts w:ascii="Garamond" w:hAnsi="Garamond" w:cs="Arial"/>
          <w:i/>
          <w:color w:val="000000"/>
          <w:lang w:val="en-US"/>
        </w:rPr>
        <w:t>International Journal of Contemporary Hospitality Management</w:t>
      </w:r>
      <w:r w:rsidRPr="001E6EA3">
        <w:rPr>
          <w:rFonts w:ascii="Garamond" w:hAnsi="Garamond" w:cs="Arial"/>
          <w:color w:val="000000"/>
          <w:lang w:val="en-US"/>
        </w:rPr>
        <w:t xml:space="preserve">, </w:t>
      </w:r>
      <w:r w:rsidRPr="001E6EA3">
        <w:rPr>
          <w:rFonts w:ascii="Garamond" w:hAnsi="Garamond" w:cs="Arial"/>
          <w:i/>
          <w:color w:val="000000"/>
          <w:lang w:val="en-US"/>
        </w:rPr>
        <w:t>30</w:t>
      </w:r>
      <w:r w:rsidRPr="001E6EA3">
        <w:rPr>
          <w:rFonts w:ascii="Garamond" w:hAnsi="Garamond" w:cs="Arial"/>
          <w:color w:val="000000"/>
          <w:lang w:val="en-US"/>
        </w:rPr>
        <w:t>(1), 514-538.</w:t>
      </w:r>
    </w:p>
    <w:p w14:paraId="0F226704"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Bido, D.S, &amp; da Silva, D. (2019). </w:t>
      </w:r>
      <w:proofErr w:type="spellStart"/>
      <w:r w:rsidRPr="00E342B1">
        <w:rPr>
          <w:rFonts w:ascii="Garamond" w:hAnsi="Garamond" w:cs="Arial"/>
          <w:color w:val="000000"/>
        </w:rPr>
        <w:t>SmartPLS</w:t>
      </w:r>
      <w:proofErr w:type="spellEnd"/>
      <w:r w:rsidRPr="00E342B1">
        <w:rPr>
          <w:rFonts w:ascii="Garamond" w:hAnsi="Garamond" w:cs="Arial"/>
          <w:color w:val="000000"/>
        </w:rPr>
        <w:t xml:space="preserve"> 3: especificação, estimação, avaliação e relato. </w:t>
      </w:r>
      <w:proofErr w:type="spellStart"/>
      <w:r w:rsidRPr="001E6EA3">
        <w:rPr>
          <w:rFonts w:ascii="Garamond" w:hAnsi="Garamond" w:cs="Arial"/>
          <w:i/>
          <w:color w:val="000000"/>
          <w:lang w:val="en-US"/>
        </w:rPr>
        <w:t>Administração</w:t>
      </w:r>
      <w:proofErr w:type="spellEnd"/>
      <w:r w:rsidRPr="001E6EA3">
        <w:rPr>
          <w:rFonts w:ascii="Garamond" w:hAnsi="Garamond" w:cs="Arial"/>
          <w:i/>
          <w:color w:val="000000"/>
          <w:lang w:val="en-US"/>
        </w:rPr>
        <w:t>: Ensino e Pesquisa</w:t>
      </w:r>
      <w:r w:rsidRPr="001E6EA3">
        <w:rPr>
          <w:rFonts w:ascii="Garamond" w:hAnsi="Garamond" w:cs="Arial"/>
          <w:color w:val="000000"/>
          <w:lang w:val="en-US"/>
        </w:rPr>
        <w:t xml:space="preserve">, </w:t>
      </w:r>
      <w:r w:rsidRPr="001E6EA3">
        <w:rPr>
          <w:rFonts w:ascii="Garamond" w:hAnsi="Garamond" w:cs="Arial"/>
          <w:i/>
          <w:color w:val="000000"/>
          <w:lang w:val="en-US"/>
        </w:rPr>
        <w:t>20</w:t>
      </w:r>
      <w:r w:rsidRPr="001E6EA3">
        <w:rPr>
          <w:rFonts w:ascii="Garamond" w:hAnsi="Garamond" w:cs="Arial"/>
          <w:color w:val="000000"/>
          <w:lang w:val="en-US"/>
        </w:rPr>
        <w:t xml:space="preserve">(2), 1-31. </w:t>
      </w:r>
    </w:p>
    <w:p w14:paraId="35D6B29C" w14:textId="77777777" w:rsidR="00631A72"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Blau, G. J. (1985). </w:t>
      </w:r>
      <w:proofErr w:type="gramStart"/>
      <w:r w:rsidRPr="001E6EA3">
        <w:rPr>
          <w:rFonts w:ascii="Garamond" w:hAnsi="Garamond" w:cs="Arial"/>
          <w:color w:val="000000"/>
          <w:lang w:val="en-US"/>
        </w:rPr>
        <w:t>The measurement</w:t>
      </w:r>
      <w:proofErr w:type="gramEnd"/>
      <w:r w:rsidRPr="001E6EA3">
        <w:rPr>
          <w:rFonts w:ascii="Garamond" w:hAnsi="Garamond" w:cs="Arial"/>
          <w:color w:val="000000"/>
          <w:lang w:val="en-US"/>
        </w:rPr>
        <w:t xml:space="preserve"> and prediction of career commitment. </w:t>
      </w:r>
      <w:r w:rsidRPr="001E6EA3">
        <w:rPr>
          <w:rFonts w:ascii="Garamond" w:hAnsi="Garamond" w:cs="Arial"/>
          <w:i/>
          <w:color w:val="000000"/>
          <w:lang w:val="en-US"/>
        </w:rPr>
        <w:t>Journal of Occupational Psychology</w:t>
      </w:r>
      <w:r w:rsidRPr="001E6EA3">
        <w:rPr>
          <w:rFonts w:ascii="Garamond" w:hAnsi="Garamond" w:cs="Arial"/>
          <w:color w:val="000000"/>
          <w:lang w:val="en-US"/>
        </w:rPr>
        <w:t xml:space="preserve">, </w:t>
      </w:r>
      <w:r w:rsidRPr="001E6EA3">
        <w:rPr>
          <w:rFonts w:ascii="Garamond" w:hAnsi="Garamond" w:cs="Arial"/>
          <w:i/>
          <w:color w:val="000000"/>
          <w:lang w:val="en-US"/>
        </w:rPr>
        <w:t>58</w:t>
      </w:r>
      <w:r w:rsidRPr="001E6EA3">
        <w:rPr>
          <w:rFonts w:ascii="Garamond" w:hAnsi="Garamond" w:cs="Arial"/>
          <w:color w:val="000000"/>
          <w:lang w:val="en-US"/>
        </w:rPr>
        <w:t xml:space="preserve">(4), 277–288. </w:t>
      </w:r>
    </w:p>
    <w:p w14:paraId="415FA646" w14:textId="4C8F52B6" w:rsidR="002F7EB5" w:rsidRPr="002F7EB5" w:rsidRDefault="002F7EB5" w:rsidP="002F7EB5">
      <w:pPr>
        <w:widowControl w:val="0"/>
        <w:tabs>
          <w:tab w:val="left" w:pos="851"/>
        </w:tabs>
        <w:spacing w:after="0"/>
        <w:ind w:left="426" w:hanging="426"/>
        <w:rPr>
          <w:rFonts w:ascii="Garamond" w:hAnsi="Garamond"/>
          <w:color w:val="000000"/>
          <w:lang w:val="en-US"/>
        </w:rPr>
      </w:pPr>
      <w:r w:rsidRPr="002F7EB5">
        <w:rPr>
          <w:rFonts w:ascii="Garamond" w:hAnsi="Garamond"/>
          <w:color w:val="000000"/>
          <w:lang w:val="en-US"/>
        </w:rPr>
        <w:t>Buis, B. C., Kluemper, D. H., Weisman, H., &amp; Tao, S. (2024). Your employees are calling: How organizations help or hinder living a calling at work. Journal of Vocational Behavior, 149 (2024), 103958.</w:t>
      </w:r>
    </w:p>
    <w:p w14:paraId="79F73A40" w14:textId="49ADA095" w:rsidR="007E2D56" w:rsidRPr="009C2BB9" w:rsidRDefault="007E2D56" w:rsidP="007E2D56">
      <w:pPr>
        <w:widowControl w:val="0"/>
        <w:tabs>
          <w:tab w:val="left" w:pos="851"/>
        </w:tabs>
        <w:spacing w:after="0"/>
        <w:ind w:left="426" w:hanging="426"/>
        <w:rPr>
          <w:rFonts w:ascii="Garamond" w:hAnsi="Garamond"/>
          <w:color w:val="000000"/>
          <w:lang w:val="en-US"/>
        </w:rPr>
      </w:pPr>
      <w:proofErr w:type="spellStart"/>
      <w:r w:rsidRPr="009C2BB9">
        <w:rPr>
          <w:rFonts w:ascii="Garamond" w:hAnsi="Garamond"/>
          <w:color w:val="000000"/>
          <w:lang w:val="en-US"/>
        </w:rPr>
        <w:t>Blulm</w:t>
      </w:r>
      <w:proofErr w:type="spellEnd"/>
      <w:r w:rsidRPr="009C2BB9">
        <w:rPr>
          <w:rFonts w:ascii="Garamond" w:hAnsi="Garamond"/>
          <w:color w:val="000000"/>
          <w:lang w:val="en-US"/>
        </w:rPr>
        <w:t xml:space="preserve">, L. F. M., &amp; Lacruz, A. J. (2022). Examining the Work as a Calling Theory: Consequences and Religiosity. </w:t>
      </w:r>
      <w:proofErr w:type="spellStart"/>
      <w:r w:rsidRPr="009C2BB9">
        <w:rPr>
          <w:rFonts w:ascii="Garamond" w:hAnsi="Garamond"/>
          <w:i/>
          <w:iCs/>
          <w:color w:val="000000"/>
          <w:lang w:val="en-US"/>
        </w:rPr>
        <w:t>Revista</w:t>
      </w:r>
      <w:proofErr w:type="spellEnd"/>
      <w:r w:rsidRPr="009C2BB9">
        <w:rPr>
          <w:rFonts w:ascii="Garamond" w:hAnsi="Garamond"/>
          <w:i/>
          <w:iCs/>
          <w:color w:val="000000"/>
          <w:lang w:val="en-US"/>
        </w:rPr>
        <w:t xml:space="preserve"> </w:t>
      </w:r>
      <w:proofErr w:type="spellStart"/>
      <w:r w:rsidRPr="009C2BB9">
        <w:rPr>
          <w:rFonts w:ascii="Garamond" w:hAnsi="Garamond"/>
          <w:i/>
          <w:iCs/>
          <w:color w:val="000000"/>
          <w:lang w:val="en-US"/>
        </w:rPr>
        <w:t>Pensamento</w:t>
      </w:r>
      <w:proofErr w:type="spellEnd"/>
      <w:r w:rsidRPr="009C2BB9">
        <w:rPr>
          <w:rFonts w:ascii="Garamond" w:hAnsi="Garamond"/>
          <w:i/>
          <w:iCs/>
          <w:color w:val="000000"/>
          <w:lang w:val="en-US"/>
        </w:rPr>
        <w:t xml:space="preserve"> </w:t>
      </w:r>
      <w:proofErr w:type="spellStart"/>
      <w:r w:rsidRPr="009C2BB9">
        <w:rPr>
          <w:rFonts w:ascii="Garamond" w:hAnsi="Garamond"/>
          <w:i/>
          <w:iCs/>
          <w:color w:val="000000"/>
          <w:lang w:val="en-US"/>
        </w:rPr>
        <w:t>Contemporâneo</w:t>
      </w:r>
      <w:proofErr w:type="spellEnd"/>
      <w:r w:rsidRPr="009C2BB9">
        <w:rPr>
          <w:rFonts w:ascii="Garamond" w:hAnsi="Garamond"/>
          <w:i/>
          <w:iCs/>
          <w:color w:val="000000"/>
          <w:lang w:val="en-US"/>
        </w:rPr>
        <w:t xml:space="preserve"> em </w:t>
      </w:r>
      <w:proofErr w:type="spellStart"/>
      <w:r w:rsidRPr="009C2BB9">
        <w:rPr>
          <w:rFonts w:ascii="Garamond" w:hAnsi="Garamond"/>
          <w:i/>
          <w:iCs/>
          <w:color w:val="000000"/>
          <w:lang w:val="en-US"/>
        </w:rPr>
        <w:t>Administração</w:t>
      </w:r>
      <w:proofErr w:type="spellEnd"/>
      <w:r w:rsidRPr="009C2BB9">
        <w:rPr>
          <w:rFonts w:ascii="Garamond" w:hAnsi="Garamond"/>
          <w:i/>
          <w:iCs/>
          <w:color w:val="000000"/>
          <w:lang w:val="en-US"/>
        </w:rPr>
        <w:t>,</w:t>
      </w:r>
      <w:r w:rsidRPr="009C2BB9">
        <w:rPr>
          <w:rFonts w:ascii="Garamond" w:hAnsi="Garamond"/>
          <w:color w:val="000000"/>
          <w:lang w:val="en-US"/>
        </w:rPr>
        <w:t xml:space="preserve"> 16 (4), 141-157. </w:t>
      </w:r>
    </w:p>
    <w:p w14:paraId="41A155EE"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Cherif, F. (2020). The role of human resource management practices and employee job satisfaction in predicting organizational commitment in Saudi Arabian banking sector. </w:t>
      </w:r>
      <w:r w:rsidRPr="001E6EA3">
        <w:rPr>
          <w:rFonts w:ascii="Garamond" w:hAnsi="Garamond" w:cs="Arial"/>
          <w:i/>
          <w:color w:val="000000"/>
          <w:lang w:val="en-US"/>
        </w:rPr>
        <w:t>International Journal of Sociology and Social Policy</w:t>
      </w:r>
      <w:r w:rsidRPr="001E6EA3">
        <w:rPr>
          <w:rFonts w:ascii="Garamond" w:hAnsi="Garamond" w:cs="Arial"/>
          <w:color w:val="000000"/>
          <w:lang w:val="en-US"/>
        </w:rPr>
        <w:t xml:space="preserve">. </w:t>
      </w:r>
      <w:r w:rsidRPr="001E6EA3">
        <w:rPr>
          <w:rFonts w:ascii="Garamond" w:hAnsi="Garamond" w:cs="Arial"/>
          <w:i/>
          <w:color w:val="000000"/>
          <w:lang w:val="en-US"/>
        </w:rPr>
        <w:t>7</w:t>
      </w:r>
      <w:r w:rsidRPr="001E6EA3">
        <w:rPr>
          <w:rFonts w:ascii="Garamond" w:hAnsi="Garamond" w:cs="Arial"/>
          <w:color w:val="000000"/>
          <w:lang w:val="en-US"/>
        </w:rPr>
        <w:t xml:space="preserve">(40), 529-541. </w:t>
      </w:r>
    </w:p>
    <w:p w14:paraId="656A5D48"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Cohen, J. (1988). Statistical Power Analysis for </w:t>
      </w:r>
      <w:proofErr w:type="gramStart"/>
      <w:r w:rsidRPr="001E6EA3">
        <w:rPr>
          <w:rFonts w:ascii="Garamond" w:hAnsi="Garamond" w:cs="Arial"/>
          <w:color w:val="000000"/>
          <w:lang w:val="en-US"/>
        </w:rPr>
        <w:t>the Behavioral</w:t>
      </w:r>
      <w:proofErr w:type="gramEnd"/>
      <w:r w:rsidRPr="001E6EA3">
        <w:rPr>
          <w:rFonts w:ascii="Garamond" w:hAnsi="Garamond" w:cs="Arial"/>
          <w:color w:val="000000"/>
          <w:lang w:val="en-US"/>
        </w:rPr>
        <w:t xml:space="preserve"> Sciences. 2 ed. New York: </w:t>
      </w:r>
      <w:proofErr w:type="spellStart"/>
      <w:proofErr w:type="gramStart"/>
      <w:r w:rsidRPr="001E6EA3">
        <w:rPr>
          <w:rFonts w:ascii="Garamond" w:hAnsi="Garamond" w:cs="Arial"/>
          <w:color w:val="000000"/>
          <w:lang w:val="en-US"/>
        </w:rPr>
        <w:t>Psy-chology</w:t>
      </w:r>
      <w:proofErr w:type="spellEnd"/>
      <w:proofErr w:type="gramEnd"/>
      <w:r w:rsidRPr="001E6EA3">
        <w:rPr>
          <w:rFonts w:ascii="Garamond" w:hAnsi="Garamond" w:cs="Arial"/>
          <w:color w:val="000000"/>
          <w:lang w:val="en-US"/>
        </w:rPr>
        <w:t xml:space="preserve"> Press.</w:t>
      </w:r>
    </w:p>
    <w:p w14:paraId="3C897A7C"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Creed, P. A., Kaya, M., &amp; Hood, M. (2020). Vocational identity and career progress: The intervening variables of career calling and willingness to compromise. </w:t>
      </w:r>
      <w:r w:rsidRPr="001E6EA3">
        <w:rPr>
          <w:rFonts w:ascii="Garamond" w:hAnsi="Garamond" w:cs="Arial"/>
          <w:i/>
          <w:color w:val="000000"/>
          <w:lang w:val="en-US"/>
        </w:rPr>
        <w:t>Journal of Career Development</w:t>
      </w:r>
      <w:r w:rsidRPr="001E6EA3">
        <w:rPr>
          <w:rFonts w:ascii="Garamond" w:hAnsi="Garamond" w:cs="Arial"/>
          <w:color w:val="000000"/>
          <w:lang w:val="en-US"/>
        </w:rPr>
        <w:t xml:space="preserve">, </w:t>
      </w:r>
      <w:r w:rsidRPr="001E6EA3">
        <w:rPr>
          <w:rFonts w:ascii="Garamond" w:hAnsi="Garamond" w:cs="Arial"/>
          <w:i/>
          <w:color w:val="000000"/>
          <w:lang w:val="en-US"/>
        </w:rPr>
        <w:t>47</w:t>
      </w:r>
      <w:r w:rsidRPr="001E6EA3">
        <w:rPr>
          <w:rFonts w:ascii="Garamond" w:hAnsi="Garamond" w:cs="Arial"/>
          <w:color w:val="000000"/>
          <w:lang w:val="en-US"/>
        </w:rPr>
        <w:t>(2), 131-145.</w:t>
      </w:r>
    </w:p>
    <w:p w14:paraId="29F6D869"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Diener, E. D., Emmons, R. A., Larsen, R. J., &amp; Griffin, S. (1985). </w:t>
      </w:r>
      <w:proofErr w:type="gramStart"/>
      <w:r w:rsidRPr="001E6EA3">
        <w:rPr>
          <w:rFonts w:ascii="Garamond" w:hAnsi="Garamond" w:cs="Arial"/>
          <w:color w:val="000000"/>
          <w:lang w:val="en-US"/>
        </w:rPr>
        <w:t>The satisfaction</w:t>
      </w:r>
      <w:proofErr w:type="gramEnd"/>
      <w:r w:rsidRPr="001E6EA3">
        <w:rPr>
          <w:rFonts w:ascii="Garamond" w:hAnsi="Garamond" w:cs="Arial"/>
          <w:color w:val="000000"/>
          <w:lang w:val="en-US"/>
        </w:rPr>
        <w:t xml:space="preserve"> with life scale. </w:t>
      </w:r>
      <w:r w:rsidRPr="001E6EA3">
        <w:rPr>
          <w:rFonts w:ascii="Garamond" w:hAnsi="Garamond" w:cs="Arial"/>
          <w:i/>
          <w:color w:val="000000"/>
          <w:lang w:val="en-US"/>
        </w:rPr>
        <w:t>Journal of Personality Assessment</w:t>
      </w:r>
      <w:r w:rsidRPr="001E6EA3">
        <w:rPr>
          <w:rFonts w:ascii="Garamond" w:hAnsi="Garamond" w:cs="Arial"/>
          <w:color w:val="000000"/>
          <w:lang w:val="en-US"/>
        </w:rPr>
        <w:t>,</w:t>
      </w:r>
      <w:r w:rsidRPr="001E6EA3">
        <w:rPr>
          <w:rFonts w:ascii="Garamond" w:hAnsi="Garamond" w:cs="Arial"/>
          <w:i/>
          <w:color w:val="000000"/>
          <w:lang w:val="en-US"/>
        </w:rPr>
        <w:t xml:space="preserve"> 49</w:t>
      </w:r>
      <w:r w:rsidRPr="001E6EA3">
        <w:rPr>
          <w:rFonts w:ascii="Garamond" w:hAnsi="Garamond" w:cs="Arial"/>
          <w:color w:val="000000"/>
          <w:lang w:val="en-US"/>
        </w:rPr>
        <w:t>(1), 71-75.</w:t>
      </w:r>
    </w:p>
    <w:p w14:paraId="7DD8F914"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Dik, B. J., &amp; Duffy, R. D. (2009). Calling and vocation at work: Definitions and prospects for research and practice. </w:t>
      </w:r>
      <w:r w:rsidRPr="001E6EA3">
        <w:rPr>
          <w:rFonts w:ascii="Garamond" w:hAnsi="Garamond" w:cs="Arial"/>
          <w:i/>
          <w:color w:val="000000"/>
          <w:lang w:val="en-US"/>
        </w:rPr>
        <w:t>The Counseling Psychologist</w:t>
      </w:r>
      <w:r w:rsidRPr="001E6EA3">
        <w:rPr>
          <w:rFonts w:ascii="Garamond" w:hAnsi="Garamond" w:cs="Arial"/>
          <w:color w:val="000000"/>
          <w:lang w:val="en-US"/>
        </w:rPr>
        <w:t>, 37(3), 424-450.</w:t>
      </w:r>
    </w:p>
    <w:p w14:paraId="07D85DCE"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Dik, B. J., Eldridge, B. M., Steger, M. F., &amp; Duffy, R. D. (2012). Development and validation of the calling and vocation questionnaire (CVQ) and brief calling scale (BCS). </w:t>
      </w:r>
      <w:r w:rsidRPr="001E6EA3">
        <w:rPr>
          <w:rFonts w:ascii="Garamond" w:hAnsi="Garamond" w:cs="Arial"/>
          <w:i/>
          <w:color w:val="000000"/>
          <w:lang w:val="en-US"/>
        </w:rPr>
        <w:t>Journal of Career Assessment</w:t>
      </w:r>
      <w:r w:rsidRPr="001E6EA3">
        <w:rPr>
          <w:rFonts w:ascii="Garamond" w:hAnsi="Garamond" w:cs="Arial"/>
          <w:color w:val="000000"/>
          <w:lang w:val="en-US"/>
        </w:rPr>
        <w:t xml:space="preserve">, </w:t>
      </w:r>
      <w:r w:rsidRPr="001E6EA3">
        <w:rPr>
          <w:rFonts w:ascii="Garamond" w:hAnsi="Garamond" w:cs="Arial"/>
          <w:i/>
          <w:color w:val="000000"/>
          <w:lang w:val="en-US"/>
        </w:rPr>
        <w:t>20</w:t>
      </w:r>
      <w:r w:rsidRPr="001E6EA3">
        <w:rPr>
          <w:rFonts w:ascii="Garamond" w:hAnsi="Garamond" w:cs="Arial"/>
          <w:color w:val="000000"/>
          <w:lang w:val="en-US"/>
        </w:rPr>
        <w:t>(3), 242-263.</w:t>
      </w:r>
    </w:p>
    <w:p w14:paraId="12936881"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Dijkstra, T. K., &amp; Henseler, J. (2015). Consistent partial least squares path modeling. MIS Quarterly, </w:t>
      </w:r>
      <w:r w:rsidRPr="001E6EA3">
        <w:rPr>
          <w:rFonts w:ascii="Garamond" w:hAnsi="Garamond" w:cs="Arial"/>
          <w:i/>
          <w:color w:val="000000"/>
          <w:lang w:val="en-US"/>
        </w:rPr>
        <w:t>39</w:t>
      </w:r>
      <w:r w:rsidRPr="001E6EA3">
        <w:rPr>
          <w:rFonts w:ascii="Garamond" w:hAnsi="Garamond" w:cs="Arial"/>
          <w:color w:val="000000"/>
          <w:lang w:val="en-US"/>
        </w:rPr>
        <w:t>(2), 297-316.</w:t>
      </w:r>
    </w:p>
    <w:p w14:paraId="3C1CC6F9"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Dobrow, S. R., &amp; Tosti</w:t>
      </w:r>
      <w:r w:rsidRPr="001E6EA3">
        <w:rPr>
          <w:rFonts w:ascii="Cambria Math" w:hAnsi="Cambria Math" w:cs="Cambria Math"/>
          <w:color w:val="000000"/>
          <w:lang w:val="en-US"/>
        </w:rPr>
        <w:t>‐</w:t>
      </w:r>
      <w:proofErr w:type="spellStart"/>
      <w:r w:rsidRPr="001E6EA3">
        <w:rPr>
          <w:rFonts w:ascii="Garamond" w:hAnsi="Garamond" w:cs="Arial"/>
          <w:color w:val="000000"/>
          <w:lang w:val="en-US"/>
        </w:rPr>
        <w:t>Kharas</w:t>
      </w:r>
      <w:proofErr w:type="spellEnd"/>
      <w:r w:rsidRPr="001E6EA3">
        <w:rPr>
          <w:rFonts w:ascii="Garamond" w:hAnsi="Garamond" w:cs="Arial"/>
          <w:color w:val="000000"/>
          <w:lang w:val="en-US"/>
        </w:rPr>
        <w:t xml:space="preserve">, J. (2011). Calling: The development of a scale measure. </w:t>
      </w:r>
      <w:r w:rsidRPr="001E6EA3">
        <w:rPr>
          <w:rFonts w:ascii="Garamond" w:hAnsi="Garamond" w:cs="Arial"/>
          <w:i/>
          <w:color w:val="000000"/>
          <w:lang w:val="en-US"/>
        </w:rPr>
        <w:t>Personnel Psychology</w:t>
      </w:r>
      <w:r w:rsidRPr="001E6EA3">
        <w:rPr>
          <w:rFonts w:ascii="Garamond" w:hAnsi="Garamond" w:cs="Arial"/>
          <w:color w:val="000000"/>
          <w:lang w:val="en-US"/>
        </w:rPr>
        <w:t>,</w:t>
      </w:r>
      <w:r w:rsidRPr="001E6EA3">
        <w:rPr>
          <w:rFonts w:ascii="Garamond" w:hAnsi="Garamond" w:cs="Arial"/>
          <w:i/>
          <w:color w:val="000000"/>
          <w:lang w:val="en-US"/>
        </w:rPr>
        <w:t xml:space="preserve"> 64</w:t>
      </w:r>
      <w:r w:rsidRPr="001E6EA3">
        <w:rPr>
          <w:rFonts w:ascii="Garamond" w:hAnsi="Garamond" w:cs="Arial"/>
          <w:color w:val="000000"/>
          <w:lang w:val="en-US"/>
        </w:rPr>
        <w:t>(4), 1001-1049.</w:t>
      </w:r>
    </w:p>
    <w:p w14:paraId="370A1B72"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Douglass, R. P., Duffy, R. D., &amp; Autin, K. L. (2016). Living a calling, nationality, and life satisfaction: A moderated, multiple mediator model. </w:t>
      </w:r>
      <w:r w:rsidRPr="001E6EA3">
        <w:rPr>
          <w:rFonts w:ascii="Garamond" w:hAnsi="Garamond" w:cs="Arial"/>
          <w:i/>
          <w:color w:val="000000"/>
          <w:lang w:val="en-US"/>
        </w:rPr>
        <w:t>Journal of Career Assessment</w:t>
      </w:r>
      <w:r w:rsidRPr="001E6EA3">
        <w:rPr>
          <w:rFonts w:ascii="Garamond" w:hAnsi="Garamond" w:cs="Arial"/>
          <w:color w:val="000000"/>
          <w:lang w:val="en-US"/>
        </w:rPr>
        <w:t xml:space="preserve">, </w:t>
      </w:r>
      <w:r w:rsidRPr="001E6EA3">
        <w:rPr>
          <w:rFonts w:ascii="Garamond" w:hAnsi="Garamond" w:cs="Arial"/>
          <w:i/>
          <w:color w:val="000000"/>
          <w:lang w:val="en-US"/>
        </w:rPr>
        <w:t>24</w:t>
      </w:r>
      <w:r w:rsidRPr="001E6EA3">
        <w:rPr>
          <w:rFonts w:ascii="Garamond" w:hAnsi="Garamond" w:cs="Arial"/>
          <w:color w:val="000000"/>
          <w:lang w:val="en-US"/>
        </w:rPr>
        <w:t>(2), 253-269.</w:t>
      </w:r>
    </w:p>
    <w:p w14:paraId="19CBA7DA"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Duffy, R. D., Allan, B. A., &amp; Bott, E. M. (2012). Calling and life satisfaction among undergraduate students: Investigating mediators and moderators. </w:t>
      </w:r>
      <w:r w:rsidRPr="001E6EA3">
        <w:rPr>
          <w:rFonts w:ascii="Garamond" w:hAnsi="Garamond" w:cs="Arial"/>
          <w:i/>
          <w:color w:val="000000"/>
          <w:lang w:val="en-US"/>
        </w:rPr>
        <w:t>Journal of Happiness Studies</w:t>
      </w:r>
      <w:r w:rsidRPr="001E6EA3">
        <w:rPr>
          <w:rFonts w:ascii="Garamond" w:hAnsi="Garamond" w:cs="Arial"/>
          <w:color w:val="000000"/>
          <w:lang w:val="en-US"/>
        </w:rPr>
        <w:t xml:space="preserve">, </w:t>
      </w:r>
      <w:r w:rsidRPr="001E6EA3">
        <w:rPr>
          <w:rFonts w:ascii="Garamond" w:hAnsi="Garamond" w:cs="Arial"/>
          <w:i/>
          <w:color w:val="000000"/>
          <w:lang w:val="en-US"/>
        </w:rPr>
        <w:t>13</w:t>
      </w:r>
      <w:r w:rsidRPr="001E6EA3">
        <w:rPr>
          <w:rFonts w:ascii="Garamond" w:hAnsi="Garamond" w:cs="Arial"/>
          <w:color w:val="000000"/>
          <w:lang w:val="en-US"/>
        </w:rPr>
        <w:t>(3), 469-479.</w:t>
      </w:r>
    </w:p>
    <w:p w14:paraId="34F31BF4"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Duffy, R. D., Allan, B. A., Autin, K. L., &amp; Douglass, R. P. (2014). Living a calling and work well-being: A longitudinal study</w:t>
      </w:r>
      <w:r w:rsidRPr="001E6EA3">
        <w:rPr>
          <w:rFonts w:ascii="Garamond" w:hAnsi="Garamond" w:cs="Arial"/>
          <w:i/>
          <w:color w:val="000000"/>
          <w:lang w:val="en-US"/>
        </w:rPr>
        <w:t>. Journal of Counseling Psychology</w:t>
      </w:r>
      <w:r w:rsidRPr="001E6EA3">
        <w:rPr>
          <w:rFonts w:ascii="Garamond" w:hAnsi="Garamond" w:cs="Arial"/>
          <w:color w:val="000000"/>
          <w:lang w:val="en-US"/>
        </w:rPr>
        <w:t xml:space="preserve">, </w:t>
      </w:r>
      <w:r w:rsidRPr="001E6EA3">
        <w:rPr>
          <w:rFonts w:ascii="Garamond" w:hAnsi="Garamond" w:cs="Arial"/>
          <w:i/>
          <w:color w:val="000000"/>
          <w:lang w:val="en-US"/>
        </w:rPr>
        <w:t>61</w:t>
      </w:r>
      <w:r w:rsidRPr="001E6EA3">
        <w:rPr>
          <w:rFonts w:ascii="Garamond" w:hAnsi="Garamond" w:cs="Arial"/>
          <w:color w:val="000000"/>
          <w:lang w:val="en-US"/>
        </w:rPr>
        <w:t>(4), 605-615.</w:t>
      </w:r>
    </w:p>
    <w:p w14:paraId="6D843D99"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Duffy, R. D., England, J. W., Douglass, R. P., Autin, K. L., &amp; Allan, B. A. (2017). Perceiving a calling and well-being: Motivation and access to opportunity as moderators. </w:t>
      </w:r>
      <w:r w:rsidRPr="001E6EA3">
        <w:rPr>
          <w:rFonts w:ascii="Garamond" w:hAnsi="Garamond" w:cs="Arial"/>
          <w:i/>
          <w:color w:val="000000"/>
          <w:lang w:val="en-US"/>
        </w:rPr>
        <w:t>Journal of Vocational Behavior</w:t>
      </w:r>
      <w:r w:rsidRPr="001E6EA3">
        <w:rPr>
          <w:rFonts w:ascii="Garamond" w:hAnsi="Garamond" w:cs="Arial"/>
          <w:color w:val="000000"/>
          <w:lang w:val="en-US"/>
        </w:rPr>
        <w:t xml:space="preserve">, </w:t>
      </w:r>
      <w:r w:rsidRPr="001E6EA3">
        <w:rPr>
          <w:rFonts w:ascii="Garamond" w:hAnsi="Garamond" w:cs="Arial"/>
          <w:i/>
          <w:color w:val="000000"/>
          <w:lang w:val="en-US"/>
        </w:rPr>
        <w:t>98</w:t>
      </w:r>
      <w:r w:rsidRPr="001E6EA3">
        <w:rPr>
          <w:rFonts w:ascii="Garamond" w:hAnsi="Garamond" w:cs="Arial"/>
          <w:color w:val="000000"/>
          <w:lang w:val="en-US"/>
        </w:rPr>
        <w:t>(2017), 127-137.</w:t>
      </w:r>
    </w:p>
    <w:p w14:paraId="053C0E3F"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Duffy, R. D., Bott, E. M., Allan, B. A., Torrey, C. L., &amp; Dik, B. J. (2012). Perceiving a calling, living a calling, and job satisfaction: Testing a moderated, multiple mediator model. </w:t>
      </w:r>
      <w:r w:rsidRPr="001E6EA3">
        <w:rPr>
          <w:rFonts w:ascii="Garamond" w:hAnsi="Garamond" w:cs="Arial"/>
          <w:i/>
          <w:color w:val="000000"/>
          <w:lang w:val="en-US"/>
        </w:rPr>
        <w:t>Journal of Counseling Psychology</w:t>
      </w:r>
      <w:r w:rsidRPr="001E6EA3">
        <w:rPr>
          <w:rFonts w:ascii="Garamond" w:hAnsi="Garamond" w:cs="Arial"/>
          <w:color w:val="000000"/>
          <w:lang w:val="en-US"/>
        </w:rPr>
        <w:t xml:space="preserve">, </w:t>
      </w:r>
      <w:r w:rsidRPr="001E6EA3">
        <w:rPr>
          <w:rFonts w:ascii="Garamond" w:hAnsi="Garamond" w:cs="Arial"/>
          <w:i/>
          <w:color w:val="000000"/>
          <w:lang w:val="en-US"/>
        </w:rPr>
        <w:t>59</w:t>
      </w:r>
      <w:r w:rsidRPr="001E6EA3">
        <w:rPr>
          <w:rFonts w:ascii="Garamond" w:hAnsi="Garamond" w:cs="Arial"/>
          <w:color w:val="000000"/>
          <w:lang w:val="en-US"/>
        </w:rPr>
        <w:t>(1), 50-59.</w:t>
      </w:r>
    </w:p>
    <w:p w14:paraId="6BFB3D82"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Duffy, R. D., Douglass, R. P., Autin, K. L., England, J., &amp; Dik, B. J. (2016). Does the dark side of a calling exist? Examining potential negative effects. </w:t>
      </w:r>
      <w:r w:rsidRPr="001E6EA3">
        <w:rPr>
          <w:rFonts w:ascii="Garamond" w:hAnsi="Garamond" w:cs="Arial"/>
          <w:i/>
          <w:color w:val="000000"/>
          <w:lang w:val="en-US"/>
        </w:rPr>
        <w:t>The Journal of Positive Psychology</w:t>
      </w:r>
      <w:r w:rsidRPr="001E6EA3">
        <w:rPr>
          <w:rFonts w:ascii="Garamond" w:hAnsi="Garamond" w:cs="Arial"/>
          <w:color w:val="000000"/>
          <w:lang w:val="en-US"/>
        </w:rPr>
        <w:t xml:space="preserve">, </w:t>
      </w:r>
      <w:r w:rsidRPr="001E6EA3">
        <w:rPr>
          <w:rFonts w:ascii="Garamond" w:hAnsi="Garamond" w:cs="Arial"/>
          <w:i/>
          <w:color w:val="000000"/>
          <w:lang w:val="en-US"/>
        </w:rPr>
        <w:t>11</w:t>
      </w:r>
      <w:r w:rsidRPr="001E6EA3">
        <w:rPr>
          <w:rFonts w:ascii="Garamond" w:hAnsi="Garamond" w:cs="Arial"/>
          <w:color w:val="000000"/>
          <w:lang w:val="en-US"/>
        </w:rPr>
        <w:t>(6), 634-646</w:t>
      </w:r>
    </w:p>
    <w:p w14:paraId="20738E07"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Duffy, R. D., Torrey, C. L., England, J., &amp; Tebbe, E. A. (2017). Calling in retirement: A mixed methods study. </w:t>
      </w:r>
      <w:r w:rsidRPr="001E6EA3">
        <w:rPr>
          <w:rFonts w:ascii="Garamond" w:hAnsi="Garamond" w:cs="Arial"/>
          <w:i/>
          <w:color w:val="000000"/>
          <w:lang w:val="en-US"/>
        </w:rPr>
        <w:t>The Journal of Positive Psychology</w:t>
      </w:r>
      <w:r w:rsidRPr="001E6EA3">
        <w:rPr>
          <w:rFonts w:ascii="Garamond" w:hAnsi="Garamond" w:cs="Arial"/>
          <w:color w:val="000000"/>
          <w:lang w:val="en-US"/>
        </w:rPr>
        <w:t xml:space="preserve">, </w:t>
      </w:r>
      <w:r w:rsidRPr="001E6EA3">
        <w:rPr>
          <w:rFonts w:ascii="Garamond" w:hAnsi="Garamond" w:cs="Arial"/>
          <w:i/>
          <w:color w:val="000000"/>
          <w:lang w:val="en-US"/>
        </w:rPr>
        <w:t>12</w:t>
      </w:r>
      <w:r w:rsidRPr="001E6EA3">
        <w:rPr>
          <w:rFonts w:ascii="Garamond" w:hAnsi="Garamond" w:cs="Arial"/>
          <w:color w:val="000000"/>
          <w:lang w:val="en-US"/>
        </w:rPr>
        <w:t>(4), 399-413.</w:t>
      </w:r>
    </w:p>
    <w:p w14:paraId="0C1C684E"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Duffy, R. D., Dik, B. J., Douglass, R. P., England, J. W., &amp; Velez, B. L. (2018). Work as a calling: A </w:t>
      </w:r>
      <w:r w:rsidRPr="001E6EA3">
        <w:rPr>
          <w:rFonts w:ascii="Garamond" w:hAnsi="Garamond" w:cs="Arial"/>
          <w:color w:val="000000"/>
          <w:lang w:val="en-US"/>
        </w:rPr>
        <w:lastRenderedPageBreak/>
        <w:t xml:space="preserve">theoretical model. </w:t>
      </w:r>
      <w:r w:rsidRPr="001E6EA3">
        <w:rPr>
          <w:rFonts w:ascii="Garamond" w:hAnsi="Garamond" w:cs="Arial"/>
          <w:i/>
          <w:color w:val="000000"/>
          <w:lang w:val="en-US"/>
        </w:rPr>
        <w:t>Journal of Counseling Psychology</w:t>
      </w:r>
      <w:r w:rsidRPr="001E6EA3">
        <w:rPr>
          <w:rFonts w:ascii="Garamond" w:hAnsi="Garamond" w:cs="Arial"/>
          <w:color w:val="000000"/>
          <w:lang w:val="en-US"/>
        </w:rPr>
        <w:t>,</w:t>
      </w:r>
      <w:r w:rsidRPr="001E6EA3">
        <w:rPr>
          <w:rFonts w:ascii="Garamond" w:hAnsi="Garamond" w:cs="Arial"/>
          <w:i/>
          <w:color w:val="000000"/>
          <w:lang w:val="en-US"/>
        </w:rPr>
        <w:t xml:space="preserve"> 65</w:t>
      </w:r>
      <w:r w:rsidRPr="001E6EA3">
        <w:rPr>
          <w:rFonts w:ascii="Garamond" w:hAnsi="Garamond" w:cs="Arial"/>
          <w:color w:val="000000"/>
          <w:lang w:val="en-US"/>
        </w:rPr>
        <w:t>(4), 423-439.</w:t>
      </w:r>
    </w:p>
    <w:p w14:paraId="38DA2FEF"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Duffy, R. D., Dik, B. J., &amp; Steger, M. F. (2011). Calling and work-related outcomes: Career commitment as a mediator. </w:t>
      </w:r>
      <w:r w:rsidRPr="001E6EA3">
        <w:rPr>
          <w:rFonts w:ascii="Garamond" w:hAnsi="Garamond" w:cs="Arial"/>
          <w:i/>
          <w:color w:val="000000"/>
          <w:lang w:val="en-US"/>
        </w:rPr>
        <w:t>Journal of Vocational Behavior</w:t>
      </w:r>
      <w:r w:rsidRPr="001E6EA3">
        <w:rPr>
          <w:rFonts w:ascii="Garamond" w:hAnsi="Garamond" w:cs="Arial"/>
          <w:color w:val="000000"/>
          <w:lang w:val="en-US"/>
        </w:rPr>
        <w:t xml:space="preserve">, </w:t>
      </w:r>
      <w:r w:rsidRPr="001E6EA3">
        <w:rPr>
          <w:rFonts w:ascii="Garamond" w:hAnsi="Garamond" w:cs="Arial"/>
          <w:i/>
          <w:color w:val="000000"/>
          <w:lang w:val="en-US"/>
        </w:rPr>
        <w:t>78</w:t>
      </w:r>
      <w:r w:rsidRPr="001E6EA3">
        <w:rPr>
          <w:rFonts w:ascii="Garamond" w:hAnsi="Garamond" w:cs="Arial"/>
          <w:color w:val="000000"/>
          <w:lang w:val="en-US"/>
        </w:rPr>
        <w:t>(2), 210-218.</w:t>
      </w:r>
    </w:p>
    <w:p w14:paraId="256DB520" w14:textId="77777777" w:rsidR="00631A72" w:rsidRDefault="00631A72" w:rsidP="00D37663">
      <w:pPr>
        <w:tabs>
          <w:tab w:val="left" w:pos="851"/>
        </w:tabs>
        <w:spacing w:after="0"/>
        <w:ind w:left="426" w:hanging="426"/>
        <w:rPr>
          <w:rFonts w:ascii="Garamond" w:hAnsi="Garamond" w:cs="Arial"/>
          <w:color w:val="000000" w:themeColor="text1"/>
          <w:lang w:val="en-US"/>
        </w:rPr>
      </w:pPr>
      <w:r w:rsidRPr="001E6EA3">
        <w:rPr>
          <w:rFonts w:ascii="Garamond" w:hAnsi="Garamond" w:cs="Arial"/>
          <w:color w:val="000000"/>
          <w:lang w:val="en-US"/>
        </w:rPr>
        <w:t xml:space="preserve">Duffy, R. D., Douglass, R. P., Gensmer, N. P., England, J. W., &amp; Kim, H. J. (2019). An initial examination of the work as calling theory. </w:t>
      </w:r>
      <w:r w:rsidRPr="001E6EA3">
        <w:rPr>
          <w:rFonts w:ascii="Garamond" w:hAnsi="Garamond" w:cs="Arial"/>
          <w:i/>
          <w:color w:val="000000"/>
          <w:lang w:val="en-US"/>
        </w:rPr>
        <w:t>Journal of Counseling Psychology</w:t>
      </w:r>
      <w:r w:rsidRPr="001E6EA3">
        <w:rPr>
          <w:rFonts w:ascii="Garamond" w:hAnsi="Garamond" w:cs="Arial"/>
          <w:color w:val="000000"/>
          <w:lang w:val="en-US"/>
        </w:rPr>
        <w:t xml:space="preserve">, </w:t>
      </w:r>
      <w:r w:rsidRPr="001E6EA3">
        <w:rPr>
          <w:rFonts w:ascii="Garamond" w:hAnsi="Garamond" w:cs="Arial"/>
          <w:i/>
          <w:color w:val="000000"/>
          <w:lang w:val="en-US"/>
        </w:rPr>
        <w:t>66</w:t>
      </w:r>
      <w:r w:rsidRPr="001E6EA3">
        <w:rPr>
          <w:rFonts w:ascii="Garamond" w:hAnsi="Garamond" w:cs="Arial"/>
          <w:color w:val="000000"/>
          <w:lang w:val="en-US"/>
        </w:rPr>
        <w:t xml:space="preserve">(3), </w:t>
      </w:r>
      <w:r w:rsidRPr="001E6EA3">
        <w:rPr>
          <w:rFonts w:ascii="Garamond" w:hAnsi="Garamond" w:cs="Arial"/>
          <w:color w:val="000000" w:themeColor="text1"/>
          <w:lang w:val="en-US"/>
        </w:rPr>
        <w:t xml:space="preserve">328-340. </w:t>
      </w:r>
    </w:p>
    <w:p w14:paraId="2941533F" w14:textId="557F56E8" w:rsidR="00D37663" w:rsidRPr="001E6EA3" w:rsidRDefault="00D37663" w:rsidP="00D37663">
      <w:pPr>
        <w:tabs>
          <w:tab w:val="left" w:pos="851"/>
        </w:tabs>
        <w:spacing w:after="0"/>
        <w:ind w:left="426" w:hanging="426"/>
        <w:rPr>
          <w:rFonts w:ascii="Garamond" w:hAnsi="Garamond" w:cs="Arial"/>
          <w:color w:val="000000"/>
          <w:lang w:val="en-US"/>
        </w:rPr>
      </w:pPr>
      <w:r w:rsidRPr="00D37663">
        <w:rPr>
          <w:rFonts w:ascii="Garamond" w:hAnsi="Garamond" w:cs="Arial"/>
          <w:color w:val="000000"/>
          <w:lang w:val="en-US"/>
        </w:rPr>
        <w:t xml:space="preserve">Duffy, R. D., </w:t>
      </w:r>
      <w:proofErr w:type="spellStart"/>
      <w:r w:rsidRPr="00D37663">
        <w:rPr>
          <w:rFonts w:ascii="Garamond" w:hAnsi="Garamond" w:cs="Arial"/>
          <w:color w:val="000000"/>
          <w:lang w:val="en-US"/>
        </w:rPr>
        <w:t>Spurk</w:t>
      </w:r>
      <w:proofErr w:type="spellEnd"/>
      <w:r w:rsidRPr="00D37663">
        <w:rPr>
          <w:rFonts w:ascii="Garamond" w:hAnsi="Garamond" w:cs="Arial"/>
          <w:color w:val="000000"/>
          <w:lang w:val="en-US"/>
        </w:rPr>
        <w:t>, D., Perez, G., Kim, H. J., &amp; Dalla Rosa, A. (2022). A latent profile analysis of perceiving and living a calling</w:t>
      </w:r>
      <w:r w:rsidRPr="00D37663">
        <w:rPr>
          <w:rFonts w:ascii="Garamond" w:hAnsi="Garamond" w:cs="Arial"/>
          <w:i/>
          <w:iCs/>
          <w:color w:val="000000"/>
          <w:lang w:val="en-US"/>
        </w:rPr>
        <w:t>. Journal of Vocational Behavior</w:t>
      </w:r>
      <w:r w:rsidRPr="00D37663">
        <w:rPr>
          <w:rFonts w:ascii="Garamond" w:hAnsi="Garamond" w:cs="Arial"/>
          <w:color w:val="000000"/>
          <w:lang w:val="en-US"/>
        </w:rPr>
        <w:t>, 134, 103694.</w:t>
      </w:r>
    </w:p>
    <w:p w14:paraId="7CCA432B"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Elangovan, A. R., Pinder, C. C., &amp; McLean, M. (2010). Callings and organizational behavior. </w:t>
      </w:r>
      <w:r w:rsidRPr="001E6EA3">
        <w:rPr>
          <w:rFonts w:ascii="Garamond" w:hAnsi="Garamond" w:cs="Arial"/>
          <w:i/>
          <w:color w:val="000000"/>
          <w:lang w:val="en-US"/>
        </w:rPr>
        <w:t>Journal of Vocational Behavior</w:t>
      </w:r>
      <w:r w:rsidRPr="001E6EA3">
        <w:rPr>
          <w:rFonts w:ascii="Garamond" w:hAnsi="Garamond" w:cs="Arial"/>
          <w:color w:val="000000"/>
          <w:lang w:val="en-US"/>
        </w:rPr>
        <w:t xml:space="preserve">, </w:t>
      </w:r>
      <w:r w:rsidRPr="001E6EA3">
        <w:rPr>
          <w:rFonts w:ascii="Garamond" w:hAnsi="Garamond" w:cs="Arial"/>
          <w:i/>
          <w:color w:val="000000"/>
          <w:lang w:val="en-US"/>
        </w:rPr>
        <w:t>76</w:t>
      </w:r>
      <w:r w:rsidRPr="001E6EA3">
        <w:rPr>
          <w:rFonts w:ascii="Garamond" w:hAnsi="Garamond" w:cs="Arial"/>
          <w:color w:val="000000"/>
          <w:lang w:val="en-US"/>
        </w:rPr>
        <w:t>(3), 428-440.</w:t>
      </w:r>
    </w:p>
    <w:p w14:paraId="767FD1D0"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Eva, N., Newman, A., Jiang, Z., &amp; Brouwer, M. (2020). Career optimism: A systematic review and agenda for future research. </w:t>
      </w:r>
      <w:r w:rsidRPr="001E6EA3">
        <w:rPr>
          <w:rFonts w:ascii="Garamond" w:hAnsi="Garamond" w:cs="Arial"/>
          <w:i/>
          <w:color w:val="000000"/>
          <w:lang w:val="en-US"/>
        </w:rPr>
        <w:t>Journal of Vocational Behavior</w:t>
      </w:r>
      <w:r w:rsidRPr="001E6EA3">
        <w:rPr>
          <w:rFonts w:ascii="Garamond" w:hAnsi="Garamond" w:cs="Arial"/>
          <w:color w:val="000000"/>
          <w:lang w:val="en-US"/>
        </w:rPr>
        <w:t xml:space="preserve">, </w:t>
      </w:r>
      <w:r w:rsidRPr="001E6EA3">
        <w:rPr>
          <w:rFonts w:ascii="Garamond" w:hAnsi="Garamond" w:cs="Arial"/>
          <w:i/>
          <w:lang w:val="en-US"/>
        </w:rPr>
        <w:t>116</w:t>
      </w:r>
      <w:r w:rsidRPr="001E6EA3">
        <w:rPr>
          <w:rFonts w:ascii="Garamond" w:hAnsi="Garamond" w:cs="Arial"/>
          <w:lang w:val="en-US"/>
        </w:rPr>
        <w:t xml:space="preserve">(B), </w:t>
      </w:r>
      <w:r w:rsidRPr="00E342B1">
        <w:rPr>
          <w:rFonts w:ascii="Garamond" w:hAnsi="Garamond" w:cs="Arial"/>
          <w:color w:val="2E2E2E"/>
          <w:lang w:val="en-US"/>
        </w:rPr>
        <w:t>1-18.</w:t>
      </w:r>
    </w:p>
    <w:p w14:paraId="20A108E2"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Felix, B., &amp; </w:t>
      </w:r>
      <w:proofErr w:type="spellStart"/>
      <w:r w:rsidRPr="001E6EA3">
        <w:rPr>
          <w:rFonts w:ascii="Garamond" w:hAnsi="Garamond" w:cs="Arial"/>
          <w:color w:val="000000"/>
          <w:lang w:val="en-US"/>
        </w:rPr>
        <w:t>Blulm</w:t>
      </w:r>
      <w:proofErr w:type="spellEnd"/>
      <w:r w:rsidRPr="001E6EA3">
        <w:rPr>
          <w:rFonts w:ascii="Garamond" w:hAnsi="Garamond" w:cs="Arial"/>
          <w:color w:val="000000"/>
          <w:lang w:val="en-US"/>
        </w:rPr>
        <w:t xml:space="preserve">, L. F. M. (2020). </w:t>
      </w:r>
      <w:r w:rsidRPr="00E342B1">
        <w:rPr>
          <w:rFonts w:ascii="Garamond" w:hAnsi="Garamond" w:cs="Arial"/>
          <w:color w:val="000000"/>
        </w:rPr>
        <w:t>Comparando os Impactos da Percepção do Chamado Ocupacional na Vida Pessoal, Profissional e na Saúde dos Funcionários Públicos</w:t>
      </w:r>
      <w:r w:rsidRPr="00E342B1">
        <w:rPr>
          <w:rFonts w:ascii="Garamond" w:hAnsi="Garamond" w:cs="Arial"/>
          <w:i/>
          <w:color w:val="000000"/>
        </w:rPr>
        <w:t xml:space="preserve">. </w:t>
      </w:r>
      <w:proofErr w:type="spellStart"/>
      <w:r w:rsidRPr="001E6EA3">
        <w:rPr>
          <w:rFonts w:ascii="Garamond" w:hAnsi="Garamond" w:cs="Arial"/>
          <w:i/>
          <w:color w:val="000000"/>
          <w:lang w:val="en-US"/>
        </w:rPr>
        <w:t>Desenvolvimento</w:t>
      </w:r>
      <w:proofErr w:type="spellEnd"/>
      <w:r w:rsidRPr="001E6EA3">
        <w:rPr>
          <w:rFonts w:ascii="Garamond" w:hAnsi="Garamond" w:cs="Arial"/>
          <w:i/>
          <w:color w:val="000000"/>
          <w:lang w:val="en-US"/>
        </w:rPr>
        <w:t xml:space="preserve"> em </w:t>
      </w:r>
      <w:proofErr w:type="spellStart"/>
      <w:r w:rsidRPr="001E6EA3">
        <w:rPr>
          <w:rFonts w:ascii="Garamond" w:hAnsi="Garamond" w:cs="Arial"/>
          <w:i/>
          <w:color w:val="000000"/>
          <w:lang w:val="en-US"/>
        </w:rPr>
        <w:t>Questão</w:t>
      </w:r>
      <w:proofErr w:type="spellEnd"/>
      <w:r w:rsidRPr="001E6EA3">
        <w:rPr>
          <w:rFonts w:ascii="Garamond" w:hAnsi="Garamond" w:cs="Arial"/>
          <w:color w:val="000000"/>
          <w:lang w:val="en-US"/>
        </w:rPr>
        <w:t>,</w:t>
      </w:r>
      <w:r w:rsidRPr="001E6EA3">
        <w:rPr>
          <w:rFonts w:ascii="Garamond" w:hAnsi="Garamond" w:cs="Arial"/>
          <w:i/>
          <w:color w:val="000000"/>
          <w:lang w:val="en-US"/>
        </w:rPr>
        <w:t xml:space="preserve"> 18</w:t>
      </w:r>
      <w:r w:rsidRPr="001E6EA3">
        <w:rPr>
          <w:rFonts w:ascii="Garamond" w:hAnsi="Garamond" w:cs="Arial"/>
          <w:color w:val="000000"/>
          <w:lang w:val="en-US"/>
        </w:rPr>
        <w:t>(51), 281-296.</w:t>
      </w:r>
    </w:p>
    <w:p w14:paraId="5CDE845E" w14:textId="77777777" w:rsidR="00631A72" w:rsidRPr="00E342B1" w:rsidRDefault="00631A72" w:rsidP="00D37663">
      <w:pPr>
        <w:tabs>
          <w:tab w:val="left" w:pos="851"/>
        </w:tabs>
        <w:spacing w:after="0"/>
        <w:ind w:left="426" w:hanging="426"/>
        <w:rPr>
          <w:rFonts w:ascii="Garamond" w:hAnsi="Garamond" w:cs="Arial"/>
          <w:color w:val="000000"/>
        </w:rPr>
      </w:pPr>
      <w:r w:rsidRPr="001E6EA3">
        <w:rPr>
          <w:rFonts w:ascii="Garamond" w:hAnsi="Garamond" w:cs="Arial"/>
          <w:color w:val="000000"/>
          <w:lang w:val="en-US"/>
        </w:rPr>
        <w:t xml:space="preserve">Felix, B., &amp; </w:t>
      </w:r>
      <w:proofErr w:type="spellStart"/>
      <w:r w:rsidRPr="001E6EA3">
        <w:rPr>
          <w:rFonts w:ascii="Garamond" w:hAnsi="Garamond" w:cs="Arial"/>
          <w:color w:val="000000"/>
          <w:lang w:val="en-US"/>
        </w:rPr>
        <w:t>Cavazotte</w:t>
      </w:r>
      <w:proofErr w:type="spellEnd"/>
      <w:r w:rsidRPr="001E6EA3">
        <w:rPr>
          <w:rFonts w:ascii="Garamond" w:hAnsi="Garamond" w:cs="Arial"/>
          <w:color w:val="000000"/>
          <w:lang w:val="en-US"/>
        </w:rPr>
        <w:t xml:space="preserve">, F. (2019). When a </w:t>
      </w:r>
      <w:proofErr w:type="gramStart"/>
      <w:r w:rsidRPr="001E6EA3">
        <w:rPr>
          <w:rFonts w:ascii="Garamond" w:hAnsi="Garamond" w:cs="Arial"/>
          <w:color w:val="000000"/>
          <w:lang w:val="en-US"/>
        </w:rPr>
        <w:t>calling</w:t>
      </w:r>
      <w:proofErr w:type="gramEnd"/>
      <w:r w:rsidRPr="001E6EA3">
        <w:rPr>
          <w:rFonts w:ascii="Garamond" w:hAnsi="Garamond" w:cs="Arial"/>
          <w:color w:val="000000"/>
          <w:lang w:val="en-US"/>
        </w:rPr>
        <w:t xml:space="preserve"> goes unanswered: exploring the role of workplace </w:t>
      </w:r>
      <w:proofErr w:type="spellStart"/>
      <w:r w:rsidRPr="001E6EA3">
        <w:rPr>
          <w:rFonts w:ascii="Garamond" w:hAnsi="Garamond" w:cs="Arial"/>
          <w:color w:val="000000"/>
          <w:lang w:val="en-US"/>
        </w:rPr>
        <w:t>personalizations</w:t>
      </w:r>
      <w:proofErr w:type="spellEnd"/>
      <w:r w:rsidRPr="001E6EA3">
        <w:rPr>
          <w:rFonts w:ascii="Garamond" w:hAnsi="Garamond" w:cs="Arial"/>
          <w:color w:val="000000"/>
          <w:lang w:val="en-US"/>
        </w:rPr>
        <w:t xml:space="preserve"> as calling enactments. </w:t>
      </w:r>
      <w:proofErr w:type="spellStart"/>
      <w:r w:rsidRPr="00E342B1">
        <w:rPr>
          <w:rFonts w:ascii="Garamond" w:hAnsi="Garamond" w:cs="Arial"/>
          <w:i/>
          <w:color w:val="000000"/>
        </w:rPr>
        <w:t>Frontiers</w:t>
      </w:r>
      <w:proofErr w:type="spellEnd"/>
      <w:r w:rsidRPr="00E342B1">
        <w:rPr>
          <w:rFonts w:ascii="Garamond" w:hAnsi="Garamond" w:cs="Arial"/>
          <w:i/>
          <w:color w:val="000000"/>
        </w:rPr>
        <w:t xml:space="preserve"> in </w:t>
      </w:r>
      <w:proofErr w:type="spellStart"/>
      <w:r w:rsidRPr="00E342B1">
        <w:rPr>
          <w:rFonts w:ascii="Garamond" w:hAnsi="Garamond" w:cs="Arial"/>
          <w:i/>
          <w:color w:val="000000"/>
        </w:rPr>
        <w:t>Psychology</w:t>
      </w:r>
      <w:proofErr w:type="spellEnd"/>
      <w:r w:rsidRPr="00E342B1">
        <w:rPr>
          <w:rFonts w:ascii="Garamond" w:hAnsi="Garamond" w:cs="Arial"/>
          <w:color w:val="000000"/>
        </w:rPr>
        <w:t xml:space="preserve">, </w:t>
      </w:r>
      <w:r w:rsidRPr="00E342B1">
        <w:rPr>
          <w:rFonts w:ascii="Garamond" w:hAnsi="Garamond" w:cs="Arial"/>
          <w:i/>
        </w:rPr>
        <w:t>10</w:t>
      </w:r>
      <w:r w:rsidRPr="00E342B1">
        <w:rPr>
          <w:rFonts w:ascii="Garamond" w:hAnsi="Garamond" w:cs="Arial"/>
        </w:rPr>
        <w:t>,1-14</w:t>
      </w:r>
      <w:r w:rsidRPr="00E342B1">
        <w:rPr>
          <w:rFonts w:ascii="Garamond" w:hAnsi="Garamond" w:cs="Arial"/>
          <w:color w:val="000000"/>
        </w:rPr>
        <w:t>.</w:t>
      </w:r>
    </w:p>
    <w:p w14:paraId="4D16470F" w14:textId="6BE07A2D" w:rsidR="00903E54" w:rsidRPr="003C7ABA" w:rsidRDefault="00903E54" w:rsidP="003C7ABA">
      <w:pPr>
        <w:widowControl w:val="0"/>
        <w:tabs>
          <w:tab w:val="left" w:pos="851"/>
        </w:tabs>
        <w:spacing w:after="0"/>
        <w:ind w:left="426" w:hanging="426"/>
        <w:rPr>
          <w:rFonts w:ascii="Garamond" w:hAnsi="Garamond"/>
          <w:color w:val="000000"/>
          <w:lang w:val="en-US"/>
        </w:rPr>
      </w:pPr>
      <w:r w:rsidRPr="00E342B1">
        <w:rPr>
          <w:rFonts w:ascii="Garamond" w:hAnsi="Garamond"/>
          <w:color w:val="000000"/>
        </w:rPr>
        <w:t xml:space="preserve">Felix, B., &amp; Papaleo, J. A. B. (2021). Interpretar o Trabalho como um Chamado Contribui para a Empregabilidade ou a Atrapalha? </w:t>
      </w:r>
      <w:r w:rsidRPr="003C7ABA">
        <w:rPr>
          <w:rFonts w:ascii="Garamond" w:hAnsi="Garamond"/>
          <w:color w:val="000000"/>
          <w:lang w:val="en-US"/>
        </w:rPr>
        <w:t xml:space="preserve">Does Interpreting Work as a Calling Contribute or Damage an Individual’s Employability? </w:t>
      </w:r>
      <w:proofErr w:type="spellStart"/>
      <w:r w:rsidRPr="003C7ABA">
        <w:rPr>
          <w:rFonts w:ascii="Garamond" w:hAnsi="Garamond"/>
          <w:i/>
          <w:iCs/>
          <w:color w:val="000000"/>
          <w:lang w:val="en-US"/>
        </w:rPr>
        <w:t>Desenvolvimento</w:t>
      </w:r>
      <w:proofErr w:type="spellEnd"/>
      <w:r w:rsidRPr="003C7ABA">
        <w:rPr>
          <w:rFonts w:ascii="Garamond" w:hAnsi="Garamond"/>
          <w:i/>
          <w:iCs/>
          <w:color w:val="000000"/>
          <w:lang w:val="en-US"/>
        </w:rPr>
        <w:t xml:space="preserve"> em </w:t>
      </w:r>
      <w:proofErr w:type="spellStart"/>
      <w:r w:rsidRPr="003C7ABA">
        <w:rPr>
          <w:rFonts w:ascii="Garamond" w:hAnsi="Garamond"/>
          <w:i/>
          <w:iCs/>
          <w:color w:val="000000"/>
          <w:lang w:val="en-US"/>
        </w:rPr>
        <w:t>Questão</w:t>
      </w:r>
      <w:proofErr w:type="spellEnd"/>
      <w:r w:rsidRPr="003C7ABA">
        <w:rPr>
          <w:rFonts w:ascii="Garamond" w:hAnsi="Garamond"/>
          <w:i/>
          <w:iCs/>
          <w:color w:val="000000"/>
          <w:lang w:val="en-US"/>
        </w:rPr>
        <w:t>,</w:t>
      </w:r>
      <w:r w:rsidRPr="003C7ABA">
        <w:rPr>
          <w:rFonts w:ascii="Garamond" w:hAnsi="Garamond"/>
          <w:color w:val="000000"/>
          <w:lang w:val="en-US"/>
        </w:rPr>
        <w:t xml:space="preserve"> </w:t>
      </w:r>
      <w:r w:rsidRPr="003C7ABA">
        <w:rPr>
          <w:rFonts w:ascii="Garamond" w:hAnsi="Garamond"/>
          <w:i/>
          <w:iCs/>
          <w:color w:val="000000"/>
          <w:lang w:val="en-US"/>
        </w:rPr>
        <w:t>19</w:t>
      </w:r>
      <w:r w:rsidRPr="003C7ABA">
        <w:rPr>
          <w:rFonts w:ascii="Garamond" w:hAnsi="Garamond"/>
          <w:color w:val="000000"/>
          <w:lang w:val="en-US"/>
        </w:rPr>
        <w:t>(55), 172-188.</w:t>
      </w:r>
    </w:p>
    <w:p w14:paraId="5F88E1D0"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Fornell, C., &amp; Larcker, D. F. (1981). Evaluating structural equation models with unobservable variables and measurement error. </w:t>
      </w:r>
      <w:r w:rsidRPr="001E6EA3">
        <w:rPr>
          <w:rFonts w:ascii="Garamond" w:hAnsi="Garamond" w:cs="Arial"/>
          <w:i/>
          <w:color w:val="000000"/>
          <w:lang w:val="en-US"/>
        </w:rPr>
        <w:t>Journal of Marketing Research</w:t>
      </w:r>
      <w:r w:rsidRPr="001E6EA3">
        <w:rPr>
          <w:rFonts w:ascii="Garamond" w:hAnsi="Garamond" w:cs="Arial"/>
          <w:color w:val="000000"/>
          <w:lang w:val="en-US"/>
        </w:rPr>
        <w:t xml:space="preserve">, </w:t>
      </w:r>
      <w:r w:rsidRPr="001E6EA3">
        <w:rPr>
          <w:rFonts w:ascii="Garamond" w:hAnsi="Garamond" w:cs="Arial"/>
          <w:i/>
          <w:color w:val="000000"/>
          <w:lang w:val="en-US"/>
        </w:rPr>
        <w:t>18</w:t>
      </w:r>
      <w:r w:rsidRPr="001E6EA3">
        <w:rPr>
          <w:rFonts w:ascii="Garamond" w:hAnsi="Garamond" w:cs="Arial"/>
          <w:color w:val="000000"/>
          <w:lang w:val="en-US"/>
        </w:rPr>
        <w:t>(1), 39-50.</w:t>
      </w:r>
    </w:p>
    <w:p w14:paraId="214BD656"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Frankl, V. (1963). Man’s search for meaning (Revised ed.). </w:t>
      </w:r>
      <w:r w:rsidRPr="001E6EA3">
        <w:rPr>
          <w:rFonts w:ascii="Garamond" w:hAnsi="Garamond" w:cs="Arial"/>
          <w:i/>
          <w:color w:val="000000"/>
          <w:lang w:val="en-US"/>
        </w:rPr>
        <w:t>London: Hodder &amp; Stoughton.</w:t>
      </w:r>
    </w:p>
    <w:p w14:paraId="756A58B0" w14:textId="77777777" w:rsidR="00631A72" w:rsidRPr="001E6EA3" w:rsidRDefault="00631A72" w:rsidP="00D37663">
      <w:pPr>
        <w:tabs>
          <w:tab w:val="left" w:pos="851"/>
        </w:tabs>
        <w:spacing w:after="0"/>
        <w:ind w:left="426" w:hanging="426"/>
        <w:rPr>
          <w:rFonts w:ascii="Garamond" w:hAnsi="Garamond" w:cs="Arial"/>
          <w:color w:val="000000"/>
          <w:lang w:val="en-US"/>
        </w:rPr>
      </w:pPr>
      <w:proofErr w:type="spellStart"/>
      <w:r w:rsidRPr="001E6EA3">
        <w:rPr>
          <w:rFonts w:ascii="Garamond" w:hAnsi="Garamond" w:cs="Arial"/>
          <w:color w:val="000000"/>
          <w:lang w:val="en-US"/>
        </w:rPr>
        <w:t>Gazica</w:t>
      </w:r>
      <w:proofErr w:type="spellEnd"/>
      <w:r w:rsidRPr="001E6EA3">
        <w:rPr>
          <w:rFonts w:ascii="Garamond" w:hAnsi="Garamond" w:cs="Arial"/>
          <w:color w:val="000000"/>
          <w:lang w:val="en-US"/>
        </w:rPr>
        <w:t xml:space="preserve">, M. W., &amp; Spector, P. E. (2015). A comparison of individuals with unanswered </w:t>
      </w:r>
      <w:proofErr w:type="gramStart"/>
      <w:r w:rsidRPr="001E6EA3">
        <w:rPr>
          <w:rFonts w:ascii="Garamond" w:hAnsi="Garamond" w:cs="Arial"/>
          <w:color w:val="000000"/>
          <w:lang w:val="en-US"/>
        </w:rPr>
        <w:t>callings</w:t>
      </w:r>
      <w:proofErr w:type="gramEnd"/>
      <w:r w:rsidRPr="001E6EA3">
        <w:rPr>
          <w:rFonts w:ascii="Garamond" w:hAnsi="Garamond" w:cs="Arial"/>
          <w:color w:val="000000"/>
          <w:lang w:val="en-US"/>
        </w:rPr>
        <w:t xml:space="preserve"> to those with no calling at all. </w:t>
      </w:r>
      <w:r w:rsidRPr="001E6EA3">
        <w:rPr>
          <w:rFonts w:ascii="Garamond" w:hAnsi="Garamond" w:cs="Arial"/>
          <w:i/>
          <w:color w:val="000000"/>
          <w:lang w:val="en-US"/>
        </w:rPr>
        <w:t>Journal of Vocational Behavior</w:t>
      </w:r>
      <w:r w:rsidRPr="001E6EA3">
        <w:rPr>
          <w:rFonts w:ascii="Garamond" w:hAnsi="Garamond" w:cs="Arial"/>
          <w:color w:val="000000"/>
          <w:lang w:val="en-US"/>
        </w:rPr>
        <w:t xml:space="preserve">, </w:t>
      </w:r>
      <w:r w:rsidRPr="001E6EA3">
        <w:rPr>
          <w:rFonts w:ascii="Garamond" w:hAnsi="Garamond" w:cs="Arial"/>
          <w:i/>
          <w:color w:val="000000"/>
          <w:lang w:val="en-US"/>
        </w:rPr>
        <w:t>91</w:t>
      </w:r>
      <w:r w:rsidRPr="001E6EA3">
        <w:rPr>
          <w:rFonts w:ascii="Garamond" w:hAnsi="Garamond" w:cs="Arial"/>
          <w:color w:val="000000"/>
          <w:lang w:val="en-US"/>
        </w:rPr>
        <w:t>(2015), 1-10.</w:t>
      </w:r>
    </w:p>
    <w:p w14:paraId="5FE7621E" w14:textId="77777777" w:rsidR="00295646" w:rsidRDefault="008938D3" w:rsidP="00295646">
      <w:pPr>
        <w:widowControl w:val="0"/>
        <w:tabs>
          <w:tab w:val="left" w:pos="851"/>
        </w:tabs>
        <w:spacing w:after="0"/>
        <w:ind w:left="426" w:hanging="426"/>
        <w:rPr>
          <w:rFonts w:ascii="Garamond" w:hAnsi="Garamond"/>
          <w:color w:val="000000"/>
          <w:lang w:val="en-US"/>
        </w:rPr>
      </w:pPr>
      <w:r w:rsidRPr="008938D3">
        <w:rPr>
          <w:rFonts w:ascii="Garamond" w:hAnsi="Garamond"/>
          <w:color w:val="000000"/>
          <w:lang w:val="en-US"/>
        </w:rPr>
        <w:t xml:space="preserve">Ghosh, K., Sharma, D., &amp; Malik, L. R. (2024). Work calling and abusive supervision: Boon or </w:t>
      </w:r>
      <w:proofErr w:type="gramStart"/>
      <w:r w:rsidRPr="008938D3">
        <w:rPr>
          <w:rFonts w:ascii="Garamond" w:hAnsi="Garamond"/>
          <w:color w:val="000000"/>
          <w:lang w:val="en-US"/>
        </w:rPr>
        <w:t>bane</w:t>
      </w:r>
      <w:proofErr w:type="gramEnd"/>
      <w:r w:rsidRPr="008938D3">
        <w:rPr>
          <w:rFonts w:ascii="Garamond" w:hAnsi="Garamond"/>
          <w:color w:val="000000"/>
          <w:lang w:val="en-US"/>
        </w:rPr>
        <w:t xml:space="preserve"> in hospitality organization? </w:t>
      </w:r>
      <w:r w:rsidRPr="008938D3">
        <w:rPr>
          <w:rFonts w:ascii="Garamond" w:hAnsi="Garamond"/>
          <w:i/>
          <w:iCs/>
          <w:color w:val="000000"/>
          <w:lang w:val="en-US"/>
        </w:rPr>
        <w:t>International Journal of Hospitality Management</w:t>
      </w:r>
      <w:r w:rsidRPr="008938D3">
        <w:rPr>
          <w:rFonts w:ascii="Garamond" w:hAnsi="Garamond"/>
          <w:color w:val="000000"/>
          <w:lang w:val="en-US"/>
        </w:rPr>
        <w:t xml:space="preserve">, </w:t>
      </w:r>
      <w:r w:rsidRPr="008938D3">
        <w:rPr>
          <w:rFonts w:ascii="Garamond" w:hAnsi="Garamond"/>
          <w:i/>
          <w:iCs/>
          <w:color w:val="000000"/>
          <w:lang w:val="en-US"/>
        </w:rPr>
        <w:t>117</w:t>
      </w:r>
      <w:r w:rsidRPr="008938D3">
        <w:rPr>
          <w:rFonts w:ascii="Garamond" w:hAnsi="Garamond"/>
          <w:color w:val="000000"/>
          <w:lang w:val="en-US"/>
        </w:rPr>
        <w:t>, 103638.</w:t>
      </w:r>
    </w:p>
    <w:p w14:paraId="28B8D5A0" w14:textId="53AAF0DE" w:rsidR="00631A72" w:rsidRPr="001E6EA3" w:rsidRDefault="00631A72" w:rsidP="00295646">
      <w:pPr>
        <w:widowControl w:val="0"/>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Hair, J. F., Ringle, C. M., &amp; Sarstedt, M. (2011). PLS-SEM: </w:t>
      </w:r>
      <w:proofErr w:type="gramStart"/>
      <w:r w:rsidRPr="001E6EA3">
        <w:rPr>
          <w:rFonts w:ascii="Garamond" w:hAnsi="Garamond" w:cs="Arial"/>
          <w:color w:val="000000"/>
          <w:lang w:val="en-US"/>
        </w:rPr>
        <w:t>Indeed</w:t>
      </w:r>
      <w:proofErr w:type="gramEnd"/>
      <w:r w:rsidRPr="001E6EA3">
        <w:rPr>
          <w:rFonts w:ascii="Garamond" w:hAnsi="Garamond" w:cs="Arial"/>
          <w:color w:val="000000"/>
          <w:lang w:val="en-US"/>
        </w:rPr>
        <w:t xml:space="preserve"> a silver bullet. </w:t>
      </w:r>
      <w:r w:rsidRPr="001E6EA3">
        <w:rPr>
          <w:rFonts w:ascii="Garamond" w:hAnsi="Garamond" w:cs="Arial"/>
          <w:i/>
          <w:color w:val="000000"/>
          <w:lang w:val="en-US"/>
        </w:rPr>
        <w:t>Journal of Marketing Theory and Practice</w:t>
      </w:r>
      <w:r w:rsidRPr="001E6EA3">
        <w:rPr>
          <w:rFonts w:ascii="Garamond" w:hAnsi="Garamond" w:cs="Arial"/>
          <w:color w:val="000000"/>
          <w:lang w:val="en-US"/>
        </w:rPr>
        <w:t xml:space="preserve">, </w:t>
      </w:r>
      <w:r w:rsidRPr="001E6EA3">
        <w:rPr>
          <w:rFonts w:ascii="Garamond" w:hAnsi="Garamond" w:cs="Arial"/>
          <w:i/>
          <w:color w:val="000000"/>
          <w:lang w:val="en-US"/>
        </w:rPr>
        <w:t>19</w:t>
      </w:r>
      <w:r w:rsidRPr="001E6EA3">
        <w:rPr>
          <w:rFonts w:ascii="Garamond" w:hAnsi="Garamond" w:cs="Arial"/>
          <w:color w:val="000000"/>
          <w:lang w:val="en-US"/>
        </w:rPr>
        <w:t>(2), 139-152.</w:t>
      </w:r>
    </w:p>
    <w:p w14:paraId="55E81DCF"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Hair, J. F., Risher, J. J., Sarstedt, M., &amp; Ringle, C. M. (2019). When to use and how to report the results of PLS-SEM. </w:t>
      </w:r>
      <w:r w:rsidRPr="001E6EA3">
        <w:rPr>
          <w:rFonts w:ascii="Garamond" w:hAnsi="Garamond" w:cs="Arial"/>
          <w:i/>
          <w:color w:val="000000"/>
          <w:lang w:val="en-US"/>
        </w:rPr>
        <w:t>European Business Review</w:t>
      </w:r>
      <w:r w:rsidRPr="001E6EA3">
        <w:rPr>
          <w:rFonts w:ascii="Garamond" w:hAnsi="Garamond" w:cs="Arial"/>
          <w:color w:val="000000"/>
          <w:lang w:val="en-US"/>
        </w:rPr>
        <w:t xml:space="preserve">. </w:t>
      </w:r>
      <w:r w:rsidRPr="001E6EA3">
        <w:rPr>
          <w:rFonts w:ascii="Garamond" w:hAnsi="Garamond" w:cs="Arial"/>
          <w:i/>
          <w:color w:val="000000"/>
          <w:lang w:val="en-US"/>
        </w:rPr>
        <w:t>31</w:t>
      </w:r>
      <w:r w:rsidRPr="001E6EA3">
        <w:rPr>
          <w:rFonts w:ascii="Garamond" w:hAnsi="Garamond" w:cs="Arial"/>
          <w:color w:val="000000"/>
          <w:lang w:val="en-US"/>
        </w:rPr>
        <w:t>(1), 2-24.</w:t>
      </w:r>
    </w:p>
    <w:p w14:paraId="44CC815D"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Henseler, J., Ringle, C. M., &amp; Sarstedt, M. (2015). A new criterion for assessing discriminant validity in variance-based structural equation modeling. </w:t>
      </w:r>
      <w:r w:rsidRPr="001E6EA3">
        <w:rPr>
          <w:rFonts w:ascii="Garamond" w:hAnsi="Garamond" w:cs="Arial"/>
          <w:i/>
          <w:color w:val="000000"/>
          <w:lang w:val="en-US"/>
        </w:rPr>
        <w:t>Journal of the Academy of Marketing Science</w:t>
      </w:r>
      <w:r w:rsidRPr="001E6EA3">
        <w:rPr>
          <w:rFonts w:ascii="Garamond" w:hAnsi="Garamond" w:cs="Arial"/>
          <w:color w:val="000000"/>
          <w:lang w:val="en-US"/>
        </w:rPr>
        <w:t xml:space="preserve">, </w:t>
      </w:r>
      <w:r w:rsidRPr="001E6EA3">
        <w:rPr>
          <w:rFonts w:ascii="Garamond" w:hAnsi="Garamond" w:cs="Arial"/>
          <w:i/>
          <w:color w:val="000000"/>
          <w:lang w:val="en-US"/>
        </w:rPr>
        <w:t>43</w:t>
      </w:r>
      <w:r w:rsidRPr="001E6EA3">
        <w:rPr>
          <w:rFonts w:ascii="Garamond" w:hAnsi="Garamond" w:cs="Arial"/>
          <w:color w:val="000000"/>
          <w:lang w:val="en-US"/>
        </w:rPr>
        <w:t>(1), 115-135.</w:t>
      </w:r>
    </w:p>
    <w:p w14:paraId="2D8F6DC5"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Hirschi, A., Keller, A. C., &amp; </w:t>
      </w:r>
      <w:proofErr w:type="spellStart"/>
      <w:r w:rsidRPr="001E6EA3">
        <w:rPr>
          <w:rFonts w:ascii="Garamond" w:hAnsi="Garamond" w:cs="Arial"/>
          <w:color w:val="000000"/>
          <w:lang w:val="en-US"/>
        </w:rPr>
        <w:t>Spurk</w:t>
      </w:r>
      <w:proofErr w:type="spellEnd"/>
      <w:r w:rsidRPr="001E6EA3">
        <w:rPr>
          <w:rFonts w:ascii="Garamond" w:hAnsi="Garamond" w:cs="Arial"/>
          <w:color w:val="000000"/>
          <w:lang w:val="en-US"/>
        </w:rPr>
        <w:t xml:space="preserve">, D. M. (2018). Living one's calling: Job resources as a link between having and living a calling. </w:t>
      </w:r>
      <w:r w:rsidRPr="001E6EA3">
        <w:rPr>
          <w:rFonts w:ascii="Garamond" w:hAnsi="Garamond" w:cs="Arial"/>
          <w:i/>
          <w:color w:val="000000"/>
          <w:lang w:val="en-US"/>
        </w:rPr>
        <w:t>Journal of Vocational Behavior</w:t>
      </w:r>
      <w:r w:rsidRPr="001E6EA3">
        <w:rPr>
          <w:rFonts w:ascii="Garamond" w:hAnsi="Garamond" w:cs="Arial"/>
          <w:color w:val="000000"/>
          <w:lang w:val="en-US"/>
        </w:rPr>
        <w:t xml:space="preserve">, </w:t>
      </w:r>
      <w:r w:rsidRPr="001E6EA3">
        <w:rPr>
          <w:rFonts w:ascii="Garamond" w:hAnsi="Garamond" w:cs="Arial"/>
          <w:i/>
          <w:color w:val="000000"/>
          <w:lang w:val="en-US"/>
        </w:rPr>
        <w:t>106</w:t>
      </w:r>
      <w:r w:rsidRPr="001E6EA3">
        <w:rPr>
          <w:rFonts w:ascii="Garamond" w:hAnsi="Garamond" w:cs="Arial"/>
          <w:color w:val="000000"/>
          <w:lang w:val="en-US"/>
        </w:rPr>
        <w:t>(2018), 1-10.</w:t>
      </w:r>
    </w:p>
    <w:p w14:paraId="7272F867"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Hirschi, A., Keller, A. C., &amp; </w:t>
      </w:r>
      <w:proofErr w:type="spellStart"/>
      <w:r w:rsidRPr="001E6EA3">
        <w:rPr>
          <w:rFonts w:ascii="Garamond" w:hAnsi="Garamond" w:cs="Arial"/>
          <w:color w:val="000000"/>
          <w:lang w:val="en-US"/>
        </w:rPr>
        <w:t>Spurk</w:t>
      </w:r>
      <w:proofErr w:type="spellEnd"/>
      <w:r w:rsidRPr="001E6EA3">
        <w:rPr>
          <w:rFonts w:ascii="Garamond" w:hAnsi="Garamond" w:cs="Arial"/>
          <w:color w:val="000000"/>
          <w:lang w:val="en-US"/>
        </w:rPr>
        <w:t xml:space="preserve">, D. (2019). Calling as a double-edged sword for work-nonwork enrichment and conflict among older workers. </w:t>
      </w:r>
      <w:r w:rsidRPr="001E6EA3">
        <w:rPr>
          <w:rFonts w:ascii="Garamond" w:hAnsi="Garamond" w:cs="Arial"/>
          <w:i/>
          <w:color w:val="000000"/>
          <w:lang w:val="en-US"/>
        </w:rPr>
        <w:t>Journal of Vocational Behavior</w:t>
      </w:r>
      <w:r w:rsidRPr="001E6EA3">
        <w:rPr>
          <w:rFonts w:ascii="Garamond" w:hAnsi="Garamond" w:cs="Arial"/>
          <w:color w:val="000000"/>
          <w:lang w:val="en-US"/>
        </w:rPr>
        <w:t xml:space="preserve">, </w:t>
      </w:r>
      <w:r w:rsidRPr="001E6EA3">
        <w:rPr>
          <w:rFonts w:ascii="Garamond" w:hAnsi="Garamond" w:cs="Arial"/>
          <w:i/>
          <w:color w:val="000000"/>
          <w:lang w:val="en-US"/>
        </w:rPr>
        <w:t>114</w:t>
      </w:r>
      <w:r w:rsidRPr="001E6EA3">
        <w:rPr>
          <w:rFonts w:ascii="Garamond" w:hAnsi="Garamond" w:cs="Arial"/>
          <w:color w:val="000000"/>
          <w:lang w:val="en-US"/>
        </w:rPr>
        <w:t>(2019), 100-111.</w:t>
      </w:r>
    </w:p>
    <w:p w14:paraId="023B1560"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Janssen, O. (2001). Fairness perceptions as a moderator in the curvilinear relationships between job demands, and job performance and job satisfaction. </w:t>
      </w:r>
      <w:r w:rsidRPr="001E6EA3">
        <w:rPr>
          <w:rFonts w:ascii="Garamond" w:hAnsi="Garamond" w:cs="Arial"/>
          <w:i/>
          <w:color w:val="000000"/>
          <w:lang w:val="en-US"/>
        </w:rPr>
        <w:t>Academy of Management Journal</w:t>
      </w:r>
      <w:r w:rsidRPr="001E6EA3">
        <w:rPr>
          <w:rFonts w:ascii="Garamond" w:hAnsi="Garamond" w:cs="Arial"/>
          <w:color w:val="000000"/>
          <w:lang w:val="en-US"/>
        </w:rPr>
        <w:t xml:space="preserve">, </w:t>
      </w:r>
      <w:r w:rsidRPr="001E6EA3">
        <w:rPr>
          <w:rFonts w:ascii="Garamond" w:hAnsi="Garamond" w:cs="Arial"/>
          <w:i/>
          <w:color w:val="000000"/>
          <w:lang w:val="en-US"/>
        </w:rPr>
        <w:t>44</w:t>
      </w:r>
      <w:r w:rsidRPr="001E6EA3">
        <w:rPr>
          <w:rFonts w:ascii="Garamond" w:hAnsi="Garamond" w:cs="Arial"/>
          <w:color w:val="000000"/>
          <w:lang w:val="en-US"/>
        </w:rPr>
        <w:t>(5), 1039-1050.</w:t>
      </w:r>
    </w:p>
    <w:p w14:paraId="0586AD70" w14:textId="77777777" w:rsidR="00631A72" w:rsidRPr="001E6EA3" w:rsidRDefault="00631A72" w:rsidP="00D37663">
      <w:pPr>
        <w:tabs>
          <w:tab w:val="left" w:pos="851"/>
        </w:tabs>
        <w:spacing w:after="0"/>
        <w:ind w:left="426" w:hanging="426"/>
        <w:rPr>
          <w:rFonts w:ascii="Garamond" w:hAnsi="Garamond" w:cs="Arial"/>
          <w:color w:val="000000" w:themeColor="text1"/>
          <w:lang w:val="en-US"/>
        </w:rPr>
      </w:pPr>
      <w:proofErr w:type="spellStart"/>
      <w:r w:rsidRPr="001E6EA3">
        <w:rPr>
          <w:rFonts w:ascii="Garamond" w:hAnsi="Garamond" w:cs="Arial"/>
          <w:color w:val="000000"/>
          <w:lang w:val="en-US"/>
        </w:rPr>
        <w:t>Lysova</w:t>
      </w:r>
      <w:proofErr w:type="spellEnd"/>
      <w:r w:rsidRPr="001E6EA3">
        <w:rPr>
          <w:rFonts w:ascii="Garamond" w:hAnsi="Garamond" w:cs="Arial"/>
          <w:color w:val="000000"/>
          <w:lang w:val="en-US"/>
        </w:rPr>
        <w:t xml:space="preserve">, E. I., Dik, B. J., Duffy, R. D., </w:t>
      </w:r>
      <w:proofErr w:type="spellStart"/>
      <w:r w:rsidRPr="001E6EA3">
        <w:rPr>
          <w:rFonts w:ascii="Garamond" w:hAnsi="Garamond" w:cs="Arial"/>
          <w:color w:val="000000"/>
          <w:lang w:val="en-US"/>
        </w:rPr>
        <w:t>Khapova</w:t>
      </w:r>
      <w:proofErr w:type="spellEnd"/>
      <w:r w:rsidRPr="001E6EA3">
        <w:rPr>
          <w:rFonts w:ascii="Garamond" w:hAnsi="Garamond" w:cs="Arial"/>
          <w:color w:val="000000"/>
          <w:lang w:val="en-US"/>
        </w:rPr>
        <w:t xml:space="preserve">, S. N., &amp; Arthur, M. B. (2019). Calling and careers: </w:t>
      </w:r>
      <w:r w:rsidRPr="001E6EA3">
        <w:rPr>
          <w:rFonts w:ascii="Garamond" w:hAnsi="Garamond" w:cs="Arial"/>
          <w:i/>
          <w:color w:val="000000"/>
          <w:lang w:val="en-US"/>
        </w:rPr>
        <w:t>New insights and future directions</w:t>
      </w:r>
      <w:r w:rsidRPr="001E6EA3">
        <w:rPr>
          <w:rFonts w:ascii="Garamond" w:hAnsi="Garamond" w:cs="Arial"/>
          <w:color w:val="000000"/>
          <w:lang w:val="en-US"/>
        </w:rPr>
        <w:t>.</w:t>
      </w:r>
      <w:r w:rsidRPr="001E6EA3">
        <w:rPr>
          <w:rFonts w:ascii="Garamond" w:hAnsi="Garamond" w:cs="Arial"/>
          <w:color w:val="FF0000"/>
          <w:lang w:val="en-US"/>
        </w:rPr>
        <w:t xml:space="preserve"> </w:t>
      </w:r>
      <w:r w:rsidRPr="001E6EA3">
        <w:rPr>
          <w:rFonts w:ascii="Garamond" w:hAnsi="Garamond" w:cs="Arial"/>
          <w:i/>
          <w:color w:val="000000" w:themeColor="text1"/>
          <w:lang w:val="en-US"/>
        </w:rPr>
        <w:t>Journal of Vocational Behavior, 114</w:t>
      </w:r>
      <w:r w:rsidRPr="001E6EA3">
        <w:rPr>
          <w:rFonts w:ascii="Garamond" w:hAnsi="Garamond" w:cs="Arial"/>
          <w:color w:val="000000" w:themeColor="text1"/>
          <w:lang w:val="en-US"/>
        </w:rPr>
        <w:t>(2019), 1-6.</w:t>
      </w:r>
    </w:p>
    <w:p w14:paraId="1AB863ED" w14:textId="77777777" w:rsidR="00631A72" w:rsidRPr="001E6EA3" w:rsidRDefault="00631A72" w:rsidP="00D37663">
      <w:pPr>
        <w:tabs>
          <w:tab w:val="left" w:pos="851"/>
        </w:tabs>
        <w:spacing w:after="0"/>
        <w:ind w:left="426" w:hanging="426"/>
        <w:rPr>
          <w:rFonts w:ascii="Garamond" w:hAnsi="Garamond" w:cs="Arial"/>
          <w:color w:val="000000"/>
          <w:lang w:val="en-US"/>
        </w:rPr>
      </w:pPr>
      <w:proofErr w:type="spellStart"/>
      <w:r w:rsidRPr="001E6EA3">
        <w:rPr>
          <w:rFonts w:ascii="Garamond" w:hAnsi="Garamond" w:cs="Arial"/>
          <w:color w:val="000000"/>
          <w:lang w:val="en-US"/>
        </w:rPr>
        <w:t>Lysova</w:t>
      </w:r>
      <w:proofErr w:type="spellEnd"/>
      <w:r w:rsidRPr="001E6EA3">
        <w:rPr>
          <w:rFonts w:ascii="Garamond" w:hAnsi="Garamond" w:cs="Arial"/>
          <w:color w:val="000000"/>
          <w:lang w:val="en-US"/>
        </w:rPr>
        <w:t xml:space="preserve">, E. I., Jansen, P. G., </w:t>
      </w:r>
      <w:proofErr w:type="spellStart"/>
      <w:r w:rsidRPr="001E6EA3">
        <w:rPr>
          <w:rFonts w:ascii="Garamond" w:hAnsi="Garamond" w:cs="Arial"/>
          <w:color w:val="000000"/>
          <w:lang w:val="en-US"/>
        </w:rPr>
        <w:t>Khapova</w:t>
      </w:r>
      <w:proofErr w:type="spellEnd"/>
      <w:r w:rsidRPr="001E6EA3">
        <w:rPr>
          <w:rFonts w:ascii="Garamond" w:hAnsi="Garamond" w:cs="Arial"/>
          <w:color w:val="000000"/>
          <w:lang w:val="en-US"/>
        </w:rPr>
        <w:t xml:space="preserve">, S. N., </w:t>
      </w:r>
      <w:proofErr w:type="spellStart"/>
      <w:r w:rsidRPr="001E6EA3">
        <w:rPr>
          <w:rFonts w:ascii="Garamond" w:hAnsi="Garamond" w:cs="Arial"/>
          <w:color w:val="000000"/>
          <w:lang w:val="en-US"/>
        </w:rPr>
        <w:t>Plomp</w:t>
      </w:r>
      <w:proofErr w:type="spellEnd"/>
      <w:r w:rsidRPr="001E6EA3">
        <w:rPr>
          <w:rFonts w:ascii="Garamond" w:hAnsi="Garamond" w:cs="Arial"/>
          <w:color w:val="000000"/>
          <w:lang w:val="en-US"/>
        </w:rPr>
        <w:t xml:space="preserve">, J., &amp; Tims, M. (2018). Examining calling as a double-edged sword for employability. </w:t>
      </w:r>
      <w:r w:rsidRPr="001E6EA3">
        <w:rPr>
          <w:rFonts w:ascii="Garamond" w:hAnsi="Garamond" w:cs="Arial"/>
          <w:i/>
          <w:color w:val="000000"/>
          <w:lang w:val="en-US"/>
        </w:rPr>
        <w:t>Journal of Vocational Behavior</w:t>
      </w:r>
      <w:r w:rsidRPr="001E6EA3">
        <w:rPr>
          <w:rFonts w:ascii="Garamond" w:hAnsi="Garamond" w:cs="Arial"/>
          <w:color w:val="000000"/>
          <w:lang w:val="en-US"/>
        </w:rPr>
        <w:t xml:space="preserve">, </w:t>
      </w:r>
      <w:r w:rsidRPr="001E6EA3">
        <w:rPr>
          <w:rFonts w:ascii="Garamond" w:hAnsi="Garamond" w:cs="Arial"/>
          <w:i/>
          <w:color w:val="000000"/>
          <w:lang w:val="en-US"/>
        </w:rPr>
        <w:t>104</w:t>
      </w:r>
      <w:r w:rsidRPr="001E6EA3">
        <w:rPr>
          <w:rFonts w:ascii="Garamond" w:hAnsi="Garamond" w:cs="Arial"/>
          <w:color w:val="000000"/>
          <w:lang w:val="en-US"/>
        </w:rPr>
        <w:t>(2018), 261-272.</w:t>
      </w:r>
    </w:p>
    <w:p w14:paraId="2EDE4474"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MacDonald, D.A. (2000). Spirituality: description, measurement, and relation to the </w:t>
      </w:r>
      <w:proofErr w:type="gramStart"/>
      <w:r w:rsidRPr="001E6EA3">
        <w:rPr>
          <w:rFonts w:ascii="Garamond" w:hAnsi="Garamond" w:cs="Arial"/>
          <w:color w:val="000000"/>
          <w:lang w:val="en-US"/>
        </w:rPr>
        <w:t>five factor</w:t>
      </w:r>
      <w:proofErr w:type="gramEnd"/>
      <w:r w:rsidRPr="001E6EA3">
        <w:rPr>
          <w:rFonts w:ascii="Garamond" w:hAnsi="Garamond" w:cs="Arial"/>
          <w:color w:val="000000"/>
          <w:lang w:val="en-US"/>
        </w:rPr>
        <w:t xml:space="preserve"> model of personality. </w:t>
      </w:r>
      <w:r w:rsidRPr="001E6EA3">
        <w:rPr>
          <w:rFonts w:ascii="Garamond" w:hAnsi="Garamond" w:cs="Arial"/>
          <w:i/>
          <w:color w:val="000000"/>
          <w:lang w:val="en-US"/>
        </w:rPr>
        <w:t>Journal of Personality</w:t>
      </w:r>
      <w:r w:rsidRPr="001E6EA3">
        <w:rPr>
          <w:rFonts w:ascii="Garamond" w:hAnsi="Garamond" w:cs="Arial"/>
          <w:color w:val="000000"/>
          <w:lang w:val="en-US"/>
        </w:rPr>
        <w:t xml:space="preserve">, </w:t>
      </w:r>
      <w:r w:rsidRPr="001E6EA3">
        <w:rPr>
          <w:rFonts w:ascii="Garamond" w:hAnsi="Garamond" w:cs="Arial"/>
          <w:i/>
          <w:color w:val="000000"/>
          <w:lang w:val="en-US"/>
        </w:rPr>
        <w:t>68</w:t>
      </w:r>
      <w:r w:rsidRPr="001E6EA3">
        <w:rPr>
          <w:rFonts w:ascii="Garamond" w:hAnsi="Garamond" w:cs="Arial"/>
          <w:color w:val="000000"/>
          <w:lang w:val="en-US"/>
        </w:rPr>
        <w:t xml:space="preserve">(1), 153–197. </w:t>
      </w:r>
    </w:p>
    <w:p w14:paraId="11A76D5E"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Michaelson, C., &amp; Tosti-</w:t>
      </w:r>
      <w:proofErr w:type="spellStart"/>
      <w:r w:rsidRPr="001E6EA3">
        <w:rPr>
          <w:rFonts w:ascii="Garamond" w:hAnsi="Garamond" w:cs="Arial"/>
          <w:color w:val="000000"/>
          <w:lang w:val="en-US"/>
        </w:rPr>
        <w:t>Kharas</w:t>
      </w:r>
      <w:proofErr w:type="spellEnd"/>
      <w:r w:rsidRPr="001E6EA3">
        <w:rPr>
          <w:rFonts w:ascii="Garamond" w:hAnsi="Garamond" w:cs="Arial"/>
          <w:color w:val="000000"/>
          <w:lang w:val="en-US"/>
        </w:rPr>
        <w:t xml:space="preserve">, J. (2019). Serving self or serving others? Close relations' perspectives on ethics and calling. </w:t>
      </w:r>
      <w:r w:rsidRPr="001E6EA3">
        <w:rPr>
          <w:rFonts w:ascii="Garamond" w:hAnsi="Garamond" w:cs="Arial"/>
          <w:i/>
          <w:color w:val="000000"/>
          <w:lang w:val="en-US"/>
        </w:rPr>
        <w:t>Journal of Vocational Behavior</w:t>
      </w:r>
      <w:r w:rsidRPr="001E6EA3">
        <w:rPr>
          <w:rFonts w:ascii="Garamond" w:hAnsi="Garamond" w:cs="Arial"/>
          <w:color w:val="000000"/>
          <w:lang w:val="en-US"/>
        </w:rPr>
        <w:t xml:space="preserve">, </w:t>
      </w:r>
      <w:r w:rsidRPr="001E6EA3">
        <w:rPr>
          <w:rFonts w:ascii="Garamond" w:hAnsi="Garamond" w:cs="Arial"/>
          <w:i/>
          <w:color w:val="000000"/>
          <w:lang w:val="en-US"/>
        </w:rPr>
        <w:t>114</w:t>
      </w:r>
      <w:r w:rsidRPr="001E6EA3">
        <w:rPr>
          <w:rFonts w:ascii="Garamond" w:hAnsi="Garamond" w:cs="Arial"/>
          <w:color w:val="000000"/>
          <w:lang w:val="en-US"/>
        </w:rPr>
        <w:t>(2019), 19-30.</w:t>
      </w:r>
    </w:p>
    <w:p w14:paraId="5F1B77AD"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Morgan, J., &amp; </w:t>
      </w:r>
      <w:proofErr w:type="spellStart"/>
      <w:r w:rsidRPr="001E6EA3">
        <w:rPr>
          <w:rFonts w:ascii="Garamond" w:hAnsi="Garamond" w:cs="Arial"/>
          <w:color w:val="000000"/>
          <w:lang w:val="en-US"/>
        </w:rPr>
        <w:t>Farsides</w:t>
      </w:r>
      <w:proofErr w:type="spellEnd"/>
      <w:r w:rsidRPr="001E6EA3">
        <w:rPr>
          <w:rFonts w:ascii="Garamond" w:hAnsi="Garamond" w:cs="Arial"/>
          <w:color w:val="000000"/>
          <w:lang w:val="en-US"/>
        </w:rPr>
        <w:t xml:space="preserve">, T. (2009). Measuring meaning in life. </w:t>
      </w:r>
      <w:r w:rsidRPr="001E6EA3">
        <w:rPr>
          <w:rFonts w:ascii="Garamond" w:hAnsi="Garamond" w:cs="Arial"/>
          <w:i/>
          <w:color w:val="000000"/>
          <w:lang w:val="en-US"/>
        </w:rPr>
        <w:t>Journal of Happiness Studies</w:t>
      </w:r>
      <w:r w:rsidRPr="001E6EA3">
        <w:rPr>
          <w:rFonts w:ascii="Garamond" w:hAnsi="Garamond" w:cs="Arial"/>
          <w:color w:val="000000"/>
          <w:lang w:val="en-US"/>
        </w:rPr>
        <w:t xml:space="preserve">, </w:t>
      </w:r>
      <w:r w:rsidRPr="001E6EA3">
        <w:rPr>
          <w:rFonts w:ascii="Garamond" w:hAnsi="Garamond" w:cs="Arial"/>
          <w:i/>
          <w:color w:val="000000"/>
          <w:lang w:val="en-US"/>
        </w:rPr>
        <w:t>10</w:t>
      </w:r>
      <w:r w:rsidRPr="001E6EA3">
        <w:rPr>
          <w:rFonts w:ascii="Garamond" w:hAnsi="Garamond" w:cs="Arial"/>
          <w:color w:val="000000"/>
          <w:lang w:val="en-US"/>
        </w:rPr>
        <w:t>(2), 197-214.</w:t>
      </w:r>
    </w:p>
    <w:p w14:paraId="3BCB2175"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Morris, M. G., &amp; Venkatesh, V. (2010). Job characteristics and job satisfaction: Understanding the role of enterprise resource planning system implementation. </w:t>
      </w:r>
      <w:r w:rsidRPr="001E6EA3">
        <w:rPr>
          <w:rFonts w:ascii="Garamond" w:hAnsi="Garamond" w:cs="Arial"/>
          <w:i/>
          <w:color w:val="000000"/>
          <w:lang w:val="en-US"/>
        </w:rPr>
        <w:t>Mis Quarterly</w:t>
      </w:r>
      <w:r w:rsidRPr="001E6EA3">
        <w:rPr>
          <w:rFonts w:ascii="Garamond" w:hAnsi="Garamond" w:cs="Arial"/>
          <w:color w:val="000000"/>
          <w:lang w:val="en-US"/>
        </w:rPr>
        <w:t xml:space="preserve">, </w:t>
      </w:r>
      <w:r w:rsidRPr="001E6EA3">
        <w:rPr>
          <w:rFonts w:ascii="Garamond" w:hAnsi="Garamond" w:cs="Arial"/>
          <w:i/>
          <w:color w:val="000000"/>
          <w:lang w:val="en-US"/>
        </w:rPr>
        <w:t>34</w:t>
      </w:r>
      <w:r w:rsidRPr="001E6EA3">
        <w:rPr>
          <w:rFonts w:ascii="Garamond" w:hAnsi="Garamond" w:cs="Arial"/>
          <w:color w:val="000000"/>
          <w:lang w:val="en-US"/>
        </w:rPr>
        <w:t>(1), 143-161.</w:t>
      </w:r>
    </w:p>
    <w:p w14:paraId="7ACF57C6" w14:textId="77777777" w:rsidR="00631A72" w:rsidRPr="00E342B1" w:rsidRDefault="00631A72" w:rsidP="00D37663">
      <w:pPr>
        <w:tabs>
          <w:tab w:val="left" w:pos="851"/>
        </w:tabs>
        <w:spacing w:after="0"/>
        <w:ind w:left="426" w:hanging="426"/>
        <w:rPr>
          <w:rFonts w:ascii="Garamond" w:hAnsi="Garamond" w:cs="Arial"/>
          <w:color w:val="000000"/>
        </w:rPr>
      </w:pPr>
      <w:r w:rsidRPr="001E6EA3">
        <w:rPr>
          <w:rFonts w:ascii="Garamond" w:hAnsi="Garamond" w:cs="Arial"/>
          <w:color w:val="000000"/>
          <w:lang w:val="en-US"/>
        </w:rPr>
        <w:lastRenderedPageBreak/>
        <w:t xml:space="preserve">Noor, J., </w:t>
      </w:r>
      <w:proofErr w:type="spellStart"/>
      <w:r w:rsidRPr="001E6EA3">
        <w:rPr>
          <w:rFonts w:ascii="Garamond" w:hAnsi="Garamond" w:cs="Arial"/>
          <w:color w:val="000000"/>
          <w:lang w:val="en-US"/>
        </w:rPr>
        <w:t>Suherli</w:t>
      </w:r>
      <w:proofErr w:type="spellEnd"/>
      <w:r w:rsidRPr="001E6EA3">
        <w:rPr>
          <w:rFonts w:ascii="Garamond" w:hAnsi="Garamond" w:cs="Arial"/>
          <w:color w:val="000000"/>
          <w:lang w:val="en-US"/>
        </w:rPr>
        <w:t xml:space="preserve">, A., &amp; </w:t>
      </w:r>
      <w:proofErr w:type="spellStart"/>
      <w:r w:rsidRPr="001E6EA3">
        <w:rPr>
          <w:rFonts w:ascii="Garamond" w:hAnsi="Garamond" w:cs="Arial"/>
          <w:color w:val="000000"/>
          <w:lang w:val="en-US"/>
        </w:rPr>
        <w:t>Sutisna</w:t>
      </w:r>
      <w:proofErr w:type="spellEnd"/>
      <w:r w:rsidRPr="001E6EA3">
        <w:rPr>
          <w:rFonts w:ascii="Garamond" w:hAnsi="Garamond" w:cs="Arial"/>
          <w:color w:val="000000"/>
          <w:lang w:val="en-US"/>
        </w:rPr>
        <w:t xml:space="preserve">, A. J. (2020). The Influence of Employee Competency and Career Management on Career Commitment: Regional Government in Indonesia. </w:t>
      </w:r>
      <w:r w:rsidRPr="00E342B1">
        <w:rPr>
          <w:rFonts w:ascii="Garamond" w:hAnsi="Garamond" w:cs="Arial"/>
          <w:i/>
          <w:color w:val="000000"/>
        </w:rPr>
        <w:t xml:space="preserve">The </w:t>
      </w:r>
      <w:proofErr w:type="spellStart"/>
      <w:r w:rsidRPr="00E342B1">
        <w:rPr>
          <w:rFonts w:ascii="Garamond" w:hAnsi="Garamond" w:cs="Arial"/>
          <w:i/>
          <w:color w:val="000000"/>
        </w:rPr>
        <w:t>Journal</w:t>
      </w:r>
      <w:proofErr w:type="spellEnd"/>
      <w:r w:rsidRPr="00E342B1">
        <w:rPr>
          <w:rFonts w:ascii="Garamond" w:hAnsi="Garamond" w:cs="Arial"/>
          <w:i/>
          <w:color w:val="000000"/>
        </w:rPr>
        <w:t xml:space="preserve"> </w:t>
      </w:r>
      <w:proofErr w:type="spellStart"/>
      <w:r w:rsidRPr="00E342B1">
        <w:rPr>
          <w:rFonts w:ascii="Garamond" w:hAnsi="Garamond" w:cs="Arial"/>
          <w:i/>
          <w:color w:val="000000"/>
        </w:rPr>
        <w:t>of</w:t>
      </w:r>
      <w:proofErr w:type="spellEnd"/>
      <w:r w:rsidRPr="00E342B1">
        <w:rPr>
          <w:rFonts w:ascii="Garamond" w:hAnsi="Garamond" w:cs="Arial"/>
          <w:i/>
          <w:color w:val="000000"/>
        </w:rPr>
        <w:t xml:space="preserve"> </w:t>
      </w:r>
      <w:proofErr w:type="spellStart"/>
      <w:r w:rsidRPr="00E342B1">
        <w:rPr>
          <w:rFonts w:ascii="Garamond" w:hAnsi="Garamond" w:cs="Arial"/>
          <w:i/>
          <w:color w:val="000000"/>
        </w:rPr>
        <w:t>Asian</w:t>
      </w:r>
      <w:proofErr w:type="spellEnd"/>
      <w:r w:rsidRPr="00E342B1">
        <w:rPr>
          <w:rFonts w:ascii="Garamond" w:hAnsi="Garamond" w:cs="Arial"/>
          <w:i/>
          <w:color w:val="000000"/>
        </w:rPr>
        <w:t xml:space="preserve"> </w:t>
      </w:r>
      <w:proofErr w:type="spellStart"/>
      <w:r w:rsidRPr="00E342B1">
        <w:rPr>
          <w:rFonts w:ascii="Garamond" w:hAnsi="Garamond" w:cs="Arial"/>
          <w:i/>
          <w:color w:val="000000"/>
        </w:rPr>
        <w:t>Finance</w:t>
      </w:r>
      <w:proofErr w:type="spellEnd"/>
      <w:r w:rsidRPr="00E342B1">
        <w:rPr>
          <w:rFonts w:ascii="Garamond" w:hAnsi="Garamond" w:cs="Arial"/>
          <w:i/>
          <w:color w:val="000000"/>
        </w:rPr>
        <w:t xml:space="preserve">, </w:t>
      </w:r>
      <w:proofErr w:type="spellStart"/>
      <w:r w:rsidRPr="00E342B1">
        <w:rPr>
          <w:rFonts w:ascii="Garamond" w:hAnsi="Garamond" w:cs="Arial"/>
          <w:i/>
          <w:color w:val="000000"/>
        </w:rPr>
        <w:t>Economics</w:t>
      </w:r>
      <w:proofErr w:type="spellEnd"/>
      <w:r w:rsidRPr="00E342B1">
        <w:rPr>
          <w:rFonts w:ascii="Garamond" w:hAnsi="Garamond" w:cs="Arial"/>
          <w:i/>
          <w:color w:val="000000"/>
        </w:rPr>
        <w:t>, and Business</w:t>
      </w:r>
      <w:r w:rsidRPr="00E342B1">
        <w:rPr>
          <w:rFonts w:ascii="Garamond" w:hAnsi="Garamond" w:cs="Arial"/>
          <w:color w:val="000000"/>
        </w:rPr>
        <w:t xml:space="preserve">, </w:t>
      </w:r>
      <w:r w:rsidRPr="00E342B1">
        <w:rPr>
          <w:rFonts w:ascii="Garamond" w:hAnsi="Garamond" w:cs="Arial"/>
          <w:i/>
          <w:color w:val="000000"/>
        </w:rPr>
        <w:t>7</w:t>
      </w:r>
      <w:r w:rsidRPr="00E342B1">
        <w:rPr>
          <w:rFonts w:ascii="Garamond" w:hAnsi="Garamond" w:cs="Arial"/>
          <w:color w:val="000000"/>
        </w:rPr>
        <w:t>(12), 1045-1052.</w:t>
      </w:r>
    </w:p>
    <w:p w14:paraId="7F6731B3" w14:textId="77777777" w:rsidR="00631A72" w:rsidRPr="00E342B1" w:rsidRDefault="00631A72" w:rsidP="00D37663">
      <w:pPr>
        <w:tabs>
          <w:tab w:val="left" w:pos="851"/>
        </w:tabs>
        <w:spacing w:after="0"/>
        <w:ind w:left="426" w:hanging="426"/>
        <w:rPr>
          <w:rFonts w:ascii="Garamond" w:hAnsi="Garamond" w:cs="Arial"/>
          <w:color w:val="000000"/>
        </w:rPr>
      </w:pPr>
      <w:r w:rsidRPr="00AC538A">
        <w:rPr>
          <w:rFonts w:ascii="Garamond" w:hAnsi="Garamond" w:cs="Arial"/>
          <w:color w:val="000000"/>
        </w:rPr>
        <w:t xml:space="preserve">Nunes, F. A. T., &amp; Felix, B. (2019) Viver um chamado ocupacional por meio do empreendedorismo leva à satisfação no </w:t>
      </w:r>
      <w:proofErr w:type="gramStart"/>
      <w:r w:rsidRPr="00AC538A">
        <w:rPr>
          <w:rFonts w:ascii="Garamond" w:hAnsi="Garamond" w:cs="Arial"/>
          <w:color w:val="000000"/>
        </w:rPr>
        <w:t>trabalho?.</w:t>
      </w:r>
      <w:proofErr w:type="gramEnd"/>
      <w:r w:rsidRPr="00AC538A">
        <w:rPr>
          <w:rFonts w:ascii="Garamond" w:hAnsi="Garamond" w:cs="Arial"/>
          <w:color w:val="000000"/>
        </w:rPr>
        <w:t xml:space="preserve"> </w:t>
      </w:r>
      <w:r w:rsidRPr="00E342B1">
        <w:rPr>
          <w:rFonts w:ascii="Garamond" w:hAnsi="Garamond" w:cs="Arial"/>
          <w:i/>
          <w:color w:val="000000"/>
        </w:rPr>
        <w:t>Revista Pensamento Contemporâneo em Administração</w:t>
      </w:r>
      <w:r w:rsidRPr="00E342B1">
        <w:rPr>
          <w:rFonts w:ascii="Garamond" w:hAnsi="Garamond" w:cs="Arial"/>
          <w:color w:val="000000"/>
        </w:rPr>
        <w:t xml:space="preserve">, </w:t>
      </w:r>
      <w:r w:rsidRPr="00E342B1">
        <w:rPr>
          <w:rFonts w:ascii="Garamond" w:hAnsi="Garamond" w:cs="Arial"/>
          <w:i/>
          <w:color w:val="000000"/>
        </w:rPr>
        <w:t>13</w:t>
      </w:r>
      <w:r w:rsidRPr="00E342B1">
        <w:rPr>
          <w:rFonts w:ascii="Garamond" w:hAnsi="Garamond" w:cs="Arial"/>
          <w:color w:val="000000"/>
        </w:rPr>
        <w:t>(4), 100-115.</w:t>
      </w:r>
    </w:p>
    <w:p w14:paraId="34EA9A16" w14:textId="77777777" w:rsidR="00631A72" w:rsidRPr="001E6EA3" w:rsidRDefault="00631A72" w:rsidP="00D37663">
      <w:pPr>
        <w:tabs>
          <w:tab w:val="left" w:pos="851"/>
        </w:tabs>
        <w:spacing w:after="0"/>
        <w:ind w:left="426" w:hanging="426"/>
        <w:rPr>
          <w:rFonts w:ascii="Garamond" w:hAnsi="Garamond" w:cs="Arial"/>
          <w:color w:val="000000"/>
          <w:lang w:val="en-US"/>
        </w:rPr>
      </w:pPr>
      <w:r w:rsidRPr="00E342B1">
        <w:rPr>
          <w:rFonts w:ascii="Garamond" w:hAnsi="Garamond" w:cs="Arial"/>
          <w:color w:val="000000"/>
        </w:rPr>
        <w:t xml:space="preserve">Park, Y. L., &amp; Lee, H. J. (2020). </w:t>
      </w:r>
      <w:r w:rsidRPr="001E6EA3">
        <w:rPr>
          <w:rFonts w:ascii="Garamond" w:hAnsi="Garamond" w:cs="Arial"/>
          <w:color w:val="000000"/>
          <w:lang w:val="en-US"/>
        </w:rPr>
        <w:t xml:space="preserve">The Mediating Effect of Grit in the Relationship between Calling and Academic Achievement and Career Stress. </w:t>
      </w:r>
      <w:r w:rsidRPr="001E6EA3">
        <w:rPr>
          <w:rFonts w:ascii="Garamond" w:hAnsi="Garamond" w:cs="Arial"/>
          <w:i/>
          <w:color w:val="000000"/>
          <w:lang w:val="en-US"/>
        </w:rPr>
        <w:t>International Journal of Advanced Culture Technology</w:t>
      </w:r>
      <w:r w:rsidRPr="001E6EA3">
        <w:rPr>
          <w:rFonts w:ascii="Garamond" w:hAnsi="Garamond" w:cs="Arial"/>
          <w:color w:val="000000"/>
          <w:lang w:val="en-US"/>
        </w:rPr>
        <w:t xml:space="preserve">, </w:t>
      </w:r>
      <w:r w:rsidRPr="001E6EA3">
        <w:rPr>
          <w:rFonts w:ascii="Garamond" w:hAnsi="Garamond" w:cs="Arial"/>
          <w:i/>
          <w:color w:val="000000"/>
          <w:lang w:val="en-US"/>
        </w:rPr>
        <w:t>8</w:t>
      </w:r>
      <w:r w:rsidRPr="001E6EA3">
        <w:rPr>
          <w:rFonts w:ascii="Garamond" w:hAnsi="Garamond" w:cs="Arial"/>
          <w:color w:val="000000"/>
          <w:lang w:val="en-US"/>
        </w:rPr>
        <w:t>(1), 98-106.</w:t>
      </w:r>
    </w:p>
    <w:p w14:paraId="7AD1DF08"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Rashid, M., Heiden, M., Nilsson, A., &amp; </w:t>
      </w:r>
      <w:proofErr w:type="spellStart"/>
      <w:r w:rsidRPr="001E6EA3">
        <w:rPr>
          <w:rFonts w:ascii="Garamond" w:hAnsi="Garamond" w:cs="Arial"/>
          <w:color w:val="000000"/>
          <w:lang w:val="en-US"/>
        </w:rPr>
        <w:t>Kristofferzon</w:t>
      </w:r>
      <w:proofErr w:type="spellEnd"/>
      <w:r w:rsidRPr="001E6EA3">
        <w:rPr>
          <w:rFonts w:ascii="Garamond" w:hAnsi="Garamond" w:cs="Arial"/>
          <w:color w:val="000000"/>
          <w:lang w:val="en-US"/>
        </w:rPr>
        <w:t xml:space="preserve">, M. L. (2021). Do work ability and life satisfaction matter for return to work? Predictive ability of the work ability index and life satisfaction questionnaire among women with long-term musculoskeletal pain. </w:t>
      </w:r>
      <w:r w:rsidRPr="001E6EA3">
        <w:rPr>
          <w:rFonts w:ascii="Garamond" w:hAnsi="Garamond" w:cs="Arial"/>
          <w:i/>
          <w:color w:val="000000"/>
          <w:lang w:val="en-US"/>
        </w:rPr>
        <w:t>BMC Public Health</w:t>
      </w:r>
      <w:r w:rsidRPr="001E6EA3">
        <w:rPr>
          <w:rFonts w:ascii="Garamond" w:hAnsi="Garamond" w:cs="Arial"/>
          <w:color w:val="000000"/>
          <w:lang w:val="en-US"/>
        </w:rPr>
        <w:t xml:space="preserve">, </w:t>
      </w:r>
      <w:r w:rsidRPr="001E6EA3">
        <w:rPr>
          <w:rFonts w:ascii="Garamond" w:hAnsi="Garamond" w:cs="Arial"/>
          <w:i/>
          <w:color w:val="000000"/>
          <w:lang w:val="en-US"/>
        </w:rPr>
        <w:t>21</w:t>
      </w:r>
      <w:r w:rsidRPr="001E6EA3">
        <w:rPr>
          <w:rFonts w:ascii="Garamond" w:hAnsi="Garamond" w:cs="Arial"/>
          <w:color w:val="000000"/>
          <w:lang w:val="en-US"/>
        </w:rPr>
        <w:t>(1), 1-9.</w:t>
      </w:r>
    </w:p>
    <w:p w14:paraId="4BB1A9CA" w14:textId="42810E93" w:rsidR="005B3450" w:rsidRPr="00E342B1" w:rsidRDefault="005B3450" w:rsidP="005B3450">
      <w:pPr>
        <w:widowControl w:val="0"/>
        <w:tabs>
          <w:tab w:val="left" w:pos="851"/>
        </w:tabs>
        <w:spacing w:after="0"/>
        <w:ind w:left="426" w:hanging="426"/>
        <w:rPr>
          <w:rFonts w:ascii="Garamond" w:hAnsi="Garamond"/>
          <w:color w:val="000000"/>
        </w:rPr>
      </w:pPr>
      <w:r w:rsidRPr="005B3450">
        <w:rPr>
          <w:rFonts w:ascii="Garamond" w:hAnsi="Garamond"/>
          <w:color w:val="000000"/>
          <w:lang w:val="en-US"/>
        </w:rPr>
        <w:t xml:space="preserve">Reed, A., Jones, S., &amp; Dik, B. J. (2022). Work identity and future research on work as a calling. </w:t>
      </w:r>
      <w:proofErr w:type="spellStart"/>
      <w:r w:rsidRPr="00E342B1">
        <w:rPr>
          <w:rFonts w:ascii="Garamond" w:hAnsi="Garamond"/>
          <w:i/>
          <w:iCs/>
          <w:color w:val="000000"/>
        </w:rPr>
        <w:t>Current</w:t>
      </w:r>
      <w:proofErr w:type="spellEnd"/>
      <w:r w:rsidRPr="00E342B1">
        <w:rPr>
          <w:rFonts w:ascii="Garamond" w:hAnsi="Garamond"/>
          <w:i/>
          <w:iCs/>
          <w:color w:val="000000"/>
        </w:rPr>
        <w:t xml:space="preserve"> </w:t>
      </w:r>
      <w:proofErr w:type="spellStart"/>
      <w:r w:rsidRPr="00E342B1">
        <w:rPr>
          <w:rFonts w:ascii="Garamond" w:hAnsi="Garamond"/>
          <w:i/>
          <w:iCs/>
          <w:color w:val="000000"/>
        </w:rPr>
        <w:t>Directions</w:t>
      </w:r>
      <w:proofErr w:type="spellEnd"/>
      <w:r w:rsidRPr="00E342B1">
        <w:rPr>
          <w:rFonts w:ascii="Garamond" w:hAnsi="Garamond"/>
          <w:i/>
          <w:iCs/>
          <w:color w:val="000000"/>
        </w:rPr>
        <w:t xml:space="preserve"> in </w:t>
      </w:r>
      <w:proofErr w:type="spellStart"/>
      <w:r w:rsidRPr="00E342B1">
        <w:rPr>
          <w:rFonts w:ascii="Garamond" w:hAnsi="Garamond"/>
          <w:i/>
          <w:iCs/>
          <w:color w:val="000000"/>
        </w:rPr>
        <w:t>Psychological</w:t>
      </w:r>
      <w:proofErr w:type="spellEnd"/>
      <w:r w:rsidRPr="00E342B1">
        <w:rPr>
          <w:rFonts w:ascii="Garamond" w:hAnsi="Garamond"/>
          <w:i/>
          <w:iCs/>
          <w:color w:val="000000"/>
        </w:rPr>
        <w:t xml:space="preserve"> Science, 31</w:t>
      </w:r>
      <w:r w:rsidRPr="00E342B1">
        <w:rPr>
          <w:rFonts w:ascii="Garamond" w:hAnsi="Garamond"/>
          <w:color w:val="000000"/>
        </w:rPr>
        <w:t>(5), 457-463.</w:t>
      </w:r>
    </w:p>
    <w:p w14:paraId="60662E04" w14:textId="3855B947" w:rsidR="00631A72" w:rsidRPr="00E342B1" w:rsidRDefault="00631A72" w:rsidP="00D37663">
      <w:pPr>
        <w:tabs>
          <w:tab w:val="left" w:pos="851"/>
        </w:tabs>
        <w:spacing w:after="0"/>
        <w:ind w:left="426" w:hanging="426"/>
        <w:rPr>
          <w:rFonts w:ascii="Garamond" w:hAnsi="Garamond" w:cs="Arial"/>
          <w:color w:val="000000"/>
        </w:rPr>
      </w:pPr>
      <w:proofErr w:type="spellStart"/>
      <w:r w:rsidRPr="00E342B1">
        <w:rPr>
          <w:rFonts w:ascii="Garamond" w:hAnsi="Garamond" w:cs="Arial"/>
          <w:color w:val="000000"/>
        </w:rPr>
        <w:t>Ringle</w:t>
      </w:r>
      <w:proofErr w:type="spellEnd"/>
      <w:r w:rsidRPr="00E342B1">
        <w:rPr>
          <w:rFonts w:ascii="Garamond" w:hAnsi="Garamond" w:cs="Arial"/>
          <w:color w:val="000000"/>
        </w:rPr>
        <w:t xml:space="preserve">, C. M., Da Silva, D., &amp; de Souza </w:t>
      </w:r>
      <w:proofErr w:type="spellStart"/>
      <w:r w:rsidRPr="00E342B1">
        <w:rPr>
          <w:rFonts w:ascii="Garamond" w:hAnsi="Garamond" w:cs="Arial"/>
          <w:color w:val="000000"/>
        </w:rPr>
        <w:t>Bido</w:t>
      </w:r>
      <w:proofErr w:type="spellEnd"/>
      <w:r w:rsidRPr="00E342B1">
        <w:rPr>
          <w:rFonts w:ascii="Garamond" w:hAnsi="Garamond" w:cs="Arial"/>
          <w:color w:val="000000"/>
        </w:rPr>
        <w:t xml:space="preserve">, D. (2014). Modelagem de equações estruturais com utilização do </w:t>
      </w:r>
      <w:proofErr w:type="spellStart"/>
      <w:r w:rsidRPr="00E342B1">
        <w:rPr>
          <w:rFonts w:ascii="Garamond" w:hAnsi="Garamond" w:cs="Arial"/>
          <w:color w:val="000000"/>
        </w:rPr>
        <w:t>SmartPLS</w:t>
      </w:r>
      <w:proofErr w:type="spellEnd"/>
      <w:r w:rsidRPr="00E342B1">
        <w:rPr>
          <w:rFonts w:ascii="Garamond" w:hAnsi="Garamond" w:cs="Arial"/>
          <w:color w:val="000000"/>
        </w:rPr>
        <w:t xml:space="preserve">. Revista Brasileira de Marketing, </w:t>
      </w:r>
      <w:r w:rsidRPr="00E342B1">
        <w:rPr>
          <w:rFonts w:ascii="Garamond" w:hAnsi="Garamond" w:cs="Arial"/>
          <w:i/>
          <w:color w:val="000000"/>
        </w:rPr>
        <w:t>13</w:t>
      </w:r>
      <w:r w:rsidRPr="00E342B1">
        <w:rPr>
          <w:rFonts w:ascii="Garamond" w:hAnsi="Garamond" w:cs="Arial"/>
          <w:color w:val="000000"/>
        </w:rPr>
        <w:t>(2), 56-73.</w:t>
      </w:r>
    </w:p>
    <w:p w14:paraId="6139E889" w14:textId="77777777" w:rsidR="00631A72" w:rsidRPr="001E6EA3" w:rsidRDefault="00631A72" w:rsidP="00D37663">
      <w:pPr>
        <w:tabs>
          <w:tab w:val="left" w:pos="851"/>
        </w:tabs>
        <w:spacing w:after="0"/>
        <w:ind w:left="426" w:hanging="426"/>
        <w:rPr>
          <w:rFonts w:ascii="Garamond" w:hAnsi="Garamond" w:cs="Arial"/>
          <w:color w:val="000000"/>
          <w:lang w:val="en-US"/>
        </w:rPr>
      </w:pPr>
      <w:proofErr w:type="spellStart"/>
      <w:r w:rsidRPr="00E342B1">
        <w:rPr>
          <w:rFonts w:ascii="Garamond" w:hAnsi="Garamond" w:cs="Arial"/>
          <w:color w:val="000000"/>
        </w:rPr>
        <w:t>Sekely</w:t>
      </w:r>
      <w:proofErr w:type="spellEnd"/>
      <w:r w:rsidRPr="00E342B1">
        <w:rPr>
          <w:rFonts w:ascii="Garamond" w:hAnsi="Garamond" w:cs="Arial"/>
          <w:color w:val="000000"/>
        </w:rPr>
        <w:t xml:space="preserve">, A., Xie, Y., </w:t>
      </w:r>
      <w:proofErr w:type="spellStart"/>
      <w:r w:rsidRPr="00E342B1">
        <w:rPr>
          <w:rFonts w:ascii="Garamond" w:hAnsi="Garamond" w:cs="Arial"/>
          <w:color w:val="000000"/>
        </w:rPr>
        <w:t>Makani</w:t>
      </w:r>
      <w:proofErr w:type="spellEnd"/>
      <w:r w:rsidRPr="00E342B1">
        <w:rPr>
          <w:rFonts w:ascii="Garamond" w:hAnsi="Garamond" w:cs="Arial"/>
          <w:color w:val="000000"/>
        </w:rPr>
        <w:t xml:space="preserve">, A., Brown, T., &amp; </w:t>
      </w:r>
      <w:proofErr w:type="spellStart"/>
      <w:r w:rsidRPr="00E342B1">
        <w:rPr>
          <w:rFonts w:ascii="Garamond" w:hAnsi="Garamond" w:cs="Arial"/>
          <w:color w:val="000000"/>
        </w:rPr>
        <w:t>Zakzanis</w:t>
      </w:r>
      <w:proofErr w:type="spellEnd"/>
      <w:r w:rsidRPr="00E342B1">
        <w:rPr>
          <w:rFonts w:ascii="Garamond" w:hAnsi="Garamond" w:cs="Arial"/>
          <w:color w:val="000000"/>
        </w:rPr>
        <w:t xml:space="preserve">, K. K. (2019). </w:t>
      </w:r>
      <w:r w:rsidRPr="001E6EA3">
        <w:rPr>
          <w:rFonts w:ascii="Garamond" w:hAnsi="Garamond" w:cs="Arial"/>
          <w:color w:val="000000"/>
          <w:lang w:val="en-US"/>
        </w:rPr>
        <w:t xml:space="preserve">Spiritual well-being as a predictor of emotional impairment following mild traumatic brain injury. </w:t>
      </w:r>
      <w:r w:rsidRPr="001E6EA3">
        <w:rPr>
          <w:rFonts w:ascii="Garamond" w:hAnsi="Garamond" w:cs="Arial"/>
          <w:i/>
          <w:color w:val="000000"/>
          <w:lang w:val="en-US"/>
        </w:rPr>
        <w:t>Journal of Clinical Psychology in Medical Settings</w:t>
      </w:r>
      <w:r w:rsidRPr="001E6EA3">
        <w:rPr>
          <w:rFonts w:ascii="Garamond" w:hAnsi="Garamond" w:cs="Arial"/>
          <w:color w:val="000000"/>
          <w:lang w:val="en-US"/>
        </w:rPr>
        <w:t xml:space="preserve">, </w:t>
      </w:r>
      <w:r w:rsidRPr="001E6EA3">
        <w:rPr>
          <w:rFonts w:ascii="Garamond" w:hAnsi="Garamond" w:cs="Arial"/>
          <w:i/>
          <w:color w:val="000000"/>
          <w:lang w:val="en-US"/>
        </w:rPr>
        <w:t>27</w:t>
      </w:r>
      <w:r w:rsidRPr="001E6EA3">
        <w:rPr>
          <w:rFonts w:ascii="Garamond" w:hAnsi="Garamond" w:cs="Arial"/>
          <w:color w:val="000000"/>
          <w:lang w:val="en-US"/>
        </w:rPr>
        <w:t>(2020), 859-866.</w:t>
      </w:r>
    </w:p>
    <w:p w14:paraId="4B5254F6" w14:textId="2C774CF0" w:rsidR="00DB7626" w:rsidRPr="00DB7626" w:rsidRDefault="00DB7626" w:rsidP="00DB7626">
      <w:pPr>
        <w:widowControl w:val="0"/>
        <w:tabs>
          <w:tab w:val="left" w:pos="851"/>
        </w:tabs>
        <w:spacing w:after="0"/>
        <w:ind w:left="426" w:hanging="426"/>
        <w:rPr>
          <w:rFonts w:ascii="Garamond" w:hAnsi="Garamond"/>
          <w:color w:val="000000"/>
          <w:lang w:val="en-US"/>
        </w:rPr>
      </w:pPr>
      <w:r w:rsidRPr="00DB7626">
        <w:rPr>
          <w:rFonts w:ascii="Garamond" w:hAnsi="Garamond"/>
          <w:color w:val="000000"/>
          <w:lang w:val="en-US"/>
        </w:rPr>
        <w:t xml:space="preserve">Soares, M., Felix, B., &amp; Laurett, R. (2023). Perception of calling and turnover intention: the moderating role of perceived mobility. </w:t>
      </w:r>
      <w:proofErr w:type="spellStart"/>
      <w:r w:rsidRPr="00DB7626">
        <w:rPr>
          <w:rFonts w:ascii="Garamond" w:hAnsi="Garamond"/>
          <w:i/>
          <w:iCs/>
          <w:color w:val="000000"/>
          <w:lang w:val="en-US"/>
        </w:rPr>
        <w:t>Cadernos</w:t>
      </w:r>
      <w:proofErr w:type="spellEnd"/>
      <w:r w:rsidRPr="00DB7626">
        <w:rPr>
          <w:rFonts w:ascii="Garamond" w:hAnsi="Garamond"/>
          <w:i/>
          <w:iCs/>
          <w:color w:val="000000"/>
          <w:lang w:val="en-US"/>
        </w:rPr>
        <w:t xml:space="preserve"> EBAPE. BR, 20</w:t>
      </w:r>
      <w:r w:rsidRPr="00DB7626">
        <w:rPr>
          <w:rFonts w:ascii="Garamond" w:hAnsi="Garamond"/>
          <w:color w:val="000000"/>
          <w:lang w:val="en-US"/>
        </w:rPr>
        <w:t>, 882-897.</w:t>
      </w:r>
    </w:p>
    <w:p w14:paraId="0A3D3A67" w14:textId="4290E29C"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Steger, M. F., Frazier, P., Oishi, S., &amp; Kaler, M. (2006). The Meaning in Life Questionnaire: Assessing the presence of and </w:t>
      </w:r>
      <w:proofErr w:type="gramStart"/>
      <w:r w:rsidRPr="001E6EA3">
        <w:rPr>
          <w:rFonts w:ascii="Garamond" w:hAnsi="Garamond" w:cs="Arial"/>
          <w:color w:val="000000"/>
          <w:lang w:val="en-US"/>
        </w:rPr>
        <w:t>search</w:t>
      </w:r>
      <w:proofErr w:type="gramEnd"/>
      <w:r w:rsidRPr="001E6EA3">
        <w:rPr>
          <w:rFonts w:ascii="Garamond" w:hAnsi="Garamond" w:cs="Arial"/>
          <w:color w:val="000000"/>
          <w:lang w:val="en-US"/>
        </w:rPr>
        <w:t xml:space="preserve"> for meaning in life. </w:t>
      </w:r>
      <w:r w:rsidRPr="001E6EA3">
        <w:rPr>
          <w:rFonts w:ascii="Garamond" w:hAnsi="Garamond" w:cs="Arial"/>
          <w:i/>
          <w:color w:val="000000"/>
          <w:lang w:val="en-US"/>
        </w:rPr>
        <w:t>Journal of Counseling Psychology</w:t>
      </w:r>
      <w:r w:rsidRPr="001E6EA3">
        <w:rPr>
          <w:rFonts w:ascii="Garamond" w:hAnsi="Garamond" w:cs="Arial"/>
          <w:color w:val="000000"/>
          <w:lang w:val="en-US"/>
        </w:rPr>
        <w:t xml:space="preserve">, </w:t>
      </w:r>
      <w:r w:rsidRPr="001E6EA3">
        <w:rPr>
          <w:rFonts w:ascii="Garamond" w:hAnsi="Garamond" w:cs="Arial"/>
          <w:i/>
          <w:color w:val="000000"/>
          <w:lang w:val="en-US"/>
        </w:rPr>
        <w:t>61</w:t>
      </w:r>
      <w:r w:rsidRPr="001E6EA3">
        <w:rPr>
          <w:rFonts w:ascii="Garamond" w:hAnsi="Garamond" w:cs="Arial"/>
          <w:color w:val="000000"/>
          <w:lang w:val="en-US"/>
        </w:rPr>
        <w:t>(1), 80-93.</w:t>
      </w:r>
    </w:p>
    <w:p w14:paraId="69F64334" w14:textId="77777777"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 xml:space="preserve">Steger, M. F., Pickering, N. K., Shin, J. Y., &amp; Dik, B. J. (2010). Calling in work: Secular or </w:t>
      </w:r>
      <w:proofErr w:type="gramStart"/>
      <w:r w:rsidRPr="001E6EA3">
        <w:rPr>
          <w:rFonts w:ascii="Garamond" w:hAnsi="Garamond" w:cs="Arial"/>
          <w:color w:val="000000"/>
          <w:lang w:val="en-US"/>
        </w:rPr>
        <w:t>sacred?.</w:t>
      </w:r>
      <w:proofErr w:type="gramEnd"/>
      <w:r w:rsidRPr="001E6EA3">
        <w:rPr>
          <w:rFonts w:ascii="Garamond" w:hAnsi="Garamond" w:cs="Arial"/>
          <w:color w:val="000000"/>
          <w:lang w:val="en-US"/>
        </w:rPr>
        <w:t xml:space="preserve"> </w:t>
      </w:r>
      <w:r w:rsidRPr="001E6EA3">
        <w:rPr>
          <w:rFonts w:ascii="Garamond" w:hAnsi="Garamond" w:cs="Arial"/>
          <w:i/>
          <w:color w:val="000000"/>
          <w:lang w:val="en-US"/>
        </w:rPr>
        <w:t>Journal of Career Assessment</w:t>
      </w:r>
      <w:r w:rsidRPr="001E6EA3">
        <w:rPr>
          <w:rFonts w:ascii="Garamond" w:hAnsi="Garamond" w:cs="Arial"/>
          <w:color w:val="000000"/>
          <w:lang w:val="en-US"/>
        </w:rPr>
        <w:t xml:space="preserve">, </w:t>
      </w:r>
      <w:r w:rsidRPr="001E6EA3">
        <w:rPr>
          <w:rFonts w:ascii="Garamond" w:hAnsi="Garamond" w:cs="Arial"/>
          <w:i/>
          <w:color w:val="000000"/>
          <w:lang w:val="en-US"/>
        </w:rPr>
        <w:t>18</w:t>
      </w:r>
      <w:r w:rsidRPr="001E6EA3">
        <w:rPr>
          <w:rFonts w:ascii="Garamond" w:hAnsi="Garamond" w:cs="Arial"/>
          <w:color w:val="000000"/>
          <w:lang w:val="en-US"/>
        </w:rPr>
        <w:t>(1), 82-96.</w:t>
      </w:r>
    </w:p>
    <w:p w14:paraId="039526CC" w14:textId="77777777" w:rsidR="00631A72" w:rsidRPr="001E6EA3" w:rsidRDefault="00631A72" w:rsidP="00D37663">
      <w:pPr>
        <w:tabs>
          <w:tab w:val="left" w:pos="851"/>
        </w:tabs>
        <w:spacing w:after="0"/>
        <w:ind w:left="426" w:hanging="426"/>
        <w:rPr>
          <w:rFonts w:ascii="Garamond" w:hAnsi="Garamond" w:cs="Arial"/>
          <w:i/>
          <w:color w:val="000000"/>
          <w:lang w:val="en-US"/>
        </w:rPr>
      </w:pPr>
      <w:r w:rsidRPr="001E6EA3">
        <w:rPr>
          <w:rFonts w:ascii="Garamond" w:hAnsi="Garamond" w:cs="Arial"/>
          <w:color w:val="000000"/>
          <w:lang w:val="en-US"/>
        </w:rPr>
        <w:t xml:space="preserve">Wong, S. I., </w:t>
      </w:r>
      <w:proofErr w:type="spellStart"/>
      <w:r w:rsidRPr="001E6EA3">
        <w:rPr>
          <w:rFonts w:ascii="Garamond" w:hAnsi="Garamond" w:cs="Arial"/>
          <w:color w:val="000000"/>
          <w:lang w:val="en-US"/>
        </w:rPr>
        <w:t>Kost</w:t>
      </w:r>
      <w:proofErr w:type="spellEnd"/>
      <w:r w:rsidRPr="001E6EA3">
        <w:rPr>
          <w:rFonts w:ascii="Garamond" w:hAnsi="Garamond" w:cs="Arial"/>
          <w:color w:val="000000"/>
          <w:lang w:val="en-US"/>
        </w:rPr>
        <w:t xml:space="preserve">, D., &amp; Fieseler, C. (2021). From crafting what you do to building resilience for career commitment in the gig economy. </w:t>
      </w:r>
      <w:r w:rsidRPr="001E6EA3">
        <w:rPr>
          <w:rFonts w:ascii="Garamond" w:hAnsi="Garamond" w:cs="Arial"/>
          <w:i/>
          <w:color w:val="000000"/>
          <w:lang w:val="en-US"/>
        </w:rPr>
        <w:t>Human Resource Management Journal. 2021, 1-18.</w:t>
      </w:r>
    </w:p>
    <w:p w14:paraId="26EF1D46" w14:textId="653093AB" w:rsidR="00631A72" w:rsidRPr="001E6EA3" w:rsidRDefault="00631A72" w:rsidP="00D37663">
      <w:pPr>
        <w:tabs>
          <w:tab w:val="left" w:pos="851"/>
        </w:tabs>
        <w:spacing w:after="0"/>
        <w:ind w:left="426" w:hanging="426"/>
        <w:rPr>
          <w:rFonts w:ascii="Garamond" w:hAnsi="Garamond" w:cs="Arial"/>
          <w:color w:val="000000"/>
          <w:lang w:val="en-US"/>
        </w:rPr>
      </w:pPr>
      <w:r w:rsidRPr="001E6EA3">
        <w:rPr>
          <w:rFonts w:ascii="Garamond" w:hAnsi="Garamond" w:cs="Arial"/>
          <w:color w:val="000000"/>
          <w:lang w:val="en-US"/>
        </w:rPr>
        <w:t>Yoo, J., &amp; You, S. (2018). Ministerial satisfaction and spiritual well-being among women ministering in Korean Baptist churches. Current Psychology,10(2018), 1194-1202.</w:t>
      </w:r>
    </w:p>
    <w:sectPr w:rsidR="00631A72" w:rsidRPr="001E6EA3" w:rsidSect="00E342B1">
      <w:headerReference w:type="even" r:id="rId14"/>
      <w:headerReference w:type="default" r:id="rId15"/>
      <w:footerReference w:type="even" r:id="rId16"/>
      <w:footerReference w:type="default" r:id="rId17"/>
      <w:headerReference w:type="first" r:id="rId18"/>
      <w:footerReference w:type="first" r:id="rId19"/>
      <w:pgSz w:w="11900" w:h="16840"/>
      <w:pgMar w:top="1701" w:right="1134" w:bottom="1134" w:left="1134" w:header="709" w:footer="709" w:gutter="0"/>
      <w:pgNumType w:start="96"/>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C4A245" w14:textId="77777777" w:rsidR="00247484" w:rsidRDefault="00247484">
      <w:pPr>
        <w:spacing w:after="0"/>
      </w:pPr>
      <w:r>
        <w:separator/>
      </w:r>
    </w:p>
  </w:endnote>
  <w:endnote w:type="continuationSeparator" w:id="0">
    <w:p w14:paraId="5ABC17D3" w14:textId="77777777" w:rsidR="00247484" w:rsidRDefault="002474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Century Gothic"/>
    <w:charset w:val="00"/>
    <w:family w:val="swiss"/>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Bold">
    <w:altName w:val="Times"/>
    <w:panose1 w:val="00000000000000000000"/>
    <w:charset w:val="00"/>
    <w:family w:val="auto"/>
    <w:notTrueType/>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EC6E3" w14:textId="7FE78332" w:rsidR="009F1172" w:rsidRDefault="009F1172" w:rsidP="009603D3">
    <w:pPr>
      <w:pStyle w:val="Rodap"/>
      <w:tabs>
        <w:tab w:val="clear" w:pos="4320"/>
        <w:tab w:val="clear" w:pos="8640"/>
        <w:tab w:val="left" w:pos="6330"/>
      </w:tabs>
    </w:pPr>
    <w:r>
      <w:rPr>
        <w:rFonts w:cs="Times-Bold"/>
        <w:bCs/>
        <w:noProof/>
        <w:color w:val="000000"/>
        <w:sz w:val="18"/>
        <w:szCs w:val="14"/>
        <w:lang w:eastAsia="pt-BR"/>
      </w:rPr>
      <mc:AlternateContent>
        <mc:Choice Requires="wps">
          <w:drawing>
            <wp:anchor distT="4294967295" distB="4294967295" distL="114300" distR="114300" simplePos="0" relativeHeight="251654656" behindDoc="0" locked="0" layoutInCell="1" allowOverlap="1" wp14:anchorId="2028201D" wp14:editId="7CCF0469">
              <wp:simplePos x="0" y="0"/>
              <wp:positionH relativeFrom="column">
                <wp:posOffset>9525</wp:posOffset>
              </wp:positionH>
              <wp:positionV relativeFrom="paragraph">
                <wp:posOffset>-136526</wp:posOffset>
              </wp:positionV>
              <wp:extent cx="5852160" cy="0"/>
              <wp:effectExtent l="38100" t="38100" r="72390" b="57150"/>
              <wp:wrapTight wrapText="bothSides">
                <wp:wrapPolygon edited="0">
                  <wp:start x="-141" y="-1"/>
                  <wp:lineTo x="-141" y="-1"/>
                  <wp:lineTo x="21797" y="-1"/>
                  <wp:lineTo x="21797" y="-1"/>
                  <wp:lineTo x="-141" y="-1"/>
                </wp:wrapPolygon>
              </wp:wrapTight>
              <wp:docPr id="36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5875">
                        <a:solidFill>
                          <a:srgbClr val="5A5A5A">
                            <a:alpha val="50000"/>
                          </a:srgbClr>
                        </a:solidFill>
                        <a:round/>
                        <a:headEnd/>
                        <a:tailEnd/>
                      </a:ln>
                      <a:effectLst>
                        <a:outerShdw blurRad="381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86F2D" id="Line 22"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0.75pt" to="461.5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" strokecolor="#5a5a5a" strokeweight="1.25pt">
              <v:stroke opacity="32896f"/>
              <v:shadow on="t" opacity="22938f" offset="0,0"/>
              <w10:wrap type="tight"/>
            </v:line>
          </w:pict>
        </mc:Fallback>
      </mc:AlternateContent>
    </w:r>
    <w:r>
      <w:rPr>
        <w:rFonts w:cs="Times-Bold"/>
        <w:bCs/>
        <w:color w:val="000000"/>
        <w:sz w:val="18"/>
        <w:szCs w:val="14"/>
      </w:rPr>
      <w:t xml:space="preserve">ISSN 1982-2596                                                                               </w:t>
    </w:r>
    <w:r w:rsidRPr="00B70BD9">
      <w:rPr>
        <w:rFonts w:cs="Times-Bold"/>
        <w:bCs/>
        <w:color w:val="000000"/>
        <w:sz w:val="18"/>
        <w:szCs w:val="18"/>
      </w:rPr>
      <w:t xml:space="preserve">RPCA </w:t>
    </w:r>
    <w:r w:rsidRPr="00B70BD9">
      <w:rPr>
        <w:sz w:val="18"/>
        <w:szCs w:val="18"/>
      </w:rPr>
      <w:t>|</w:t>
    </w:r>
    <w:r w:rsidRPr="00B70BD9">
      <w:rPr>
        <w:rFonts w:cs="Times-Bold"/>
        <w:bCs/>
        <w:color w:val="000000"/>
        <w:sz w:val="18"/>
        <w:szCs w:val="18"/>
      </w:rPr>
      <w:t xml:space="preserve"> Rio de Janeiro </w:t>
    </w:r>
    <w:r w:rsidRPr="00B70BD9">
      <w:rPr>
        <w:sz w:val="18"/>
        <w:szCs w:val="18"/>
      </w:rPr>
      <w:t>|</w:t>
    </w:r>
    <w:r w:rsidRPr="00B70BD9">
      <w:rPr>
        <w:rFonts w:cs="Times-Bold"/>
        <w:bCs/>
        <w:color w:val="000000"/>
        <w:sz w:val="18"/>
        <w:szCs w:val="18"/>
      </w:rPr>
      <w:t xml:space="preserve"> </w:t>
    </w:r>
    <w:r w:rsidR="000650AB">
      <w:rPr>
        <w:rFonts w:cs="Times-Bold"/>
        <w:bCs/>
        <w:color w:val="000000"/>
        <w:sz w:val="18"/>
        <w:szCs w:val="18"/>
      </w:rPr>
      <w:t xml:space="preserve">v. 18 </w:t>
    </w:r>
    <w:r w:rsidR="000650AB">
      <w:rPr>
        <w:sz w:val="18"/>
        <w:szCs w:val="18"/>
      </w:rPr>
      <w:t>|</w:t>
    </w:r>
    <w:r w:rsidR="000650AB">
      <w:rPr>
        <w:rFonts w:cs="Times-Bold"/>
        <w:bCs/>
        <w:color w:val="000000"/>
        <w:sz w:val="18"/>
        <w:szCs w:val="18"/>
      </w:rPr>
      <w:t xml:space="preserve"> </w:t>
    </w:r>
    <w:r w:rsidR="00DB1244">
      <w:rPr>
        <w:rFonts w:cs="Times-Bold"/>
        <w:bCs/>
        <w:color w:val="000000"/>
        <w:sz w:val="18"/>
        <w:szCs w:val="18"/>
      </w:rPr>
      <w:t xml:space="preserve">n. </w:t>
    </w:r>
    <w:r w:rsidR="00F20F64">
      <w:rPr>
        <w:rFonts w:cs="Times-Bold"/>
        <w:bCs/>
        <w:color w:val="000000"/>
        <w:sz w:val="18"/>
        <w:szCs w:val="18"/>
      </w:rPr>
      <w:t xml:space="preserve">3 </w:t>
    </w:r>
    <w:r w:rsidR="00F20F64">
      <w:rPr>
        <w:sz w:val="18"/>
        <w:szCs w:val="18"/>
      </w:rPr>
      <w:t>| jul. – set</w:t>
    </w:r>
    <w:r w:rsidR="00DB1244">
      <w:rPr>
        <w:sz w:val="18"/>
        <w:szCs w:val="18"/>
      </w:rPr>
      <w:t xml:space="preserve">. </w:t>
    </w:r>
    <w:r w:rsidR="000650AB">
      <w:rPr>
        <w:sz w:val="18"/>
        <w:szCs w:val="18"/>
      </w:rPr>
      <w:t>2024</w:t>
    </w:r>
    <w:r w:rsidR="000650AB">
      <w:rPr>
        <w:rFonts w:cs="Times-Bold"/>
        <w:bCs/>
        <w:color w:val="000000"/>
        <w:sz w:val="18"/>
        <w:szCs w:val="14"/>
      </w:rPr>
      <w:t xml:space="preserve">                    </w:t>
    </w:r>
    <w:r w:rsidRPr="00B018F7">
      <w:rPr>
        <w:rFonts w:cs="Times-Bold"/>
        <w:bCs/>
        <w:color w:val="000000"/>
        <w:sz w:val="18"/>
        <w:szCs w:val="14"/>
      </w:rPr>
      <w:fldChar w:fldCharType="begin"/>
    </w:r>
    <w:r w:rsidRPr="00B018F7">
      <w:rPr>
        <w:rFonts w:cs="Times-Bold"/>
        <w:bCs/>
        <w:color w:val="000000"/>
        <w:sz w:val="18"/>
        <w:szCs w:val="14"/>
      </w:rPr>
      <w:instrText xml:space="preserve"> PAGE   \* MERGEFORMAT </w:instrText>
    </w:r>
    <w:r w:rsidRPr="00B018F7">
      <w:rPr>
        <w:rFonts w:cs="Times-Bold"/>
        <w:bCs/>
        <w:color w:val="000000"/>
        <w:sz w:val="18"/>
        <w:szCs w:val="14"/>
      </w:rPr>
      <w:fldChar w:fldCharType="separate"/>
    </w:r>
    <w:r w:rsidR="00DB1244">
      <w:rPr>
        <w:rFonts w:cs="Times-Bold"/>
        <w:bCs/>
        <w:noProof/>
        <w:color w:val="000000"/>
        <w:sz w:val="18"/>
        <w:szCs w:val="14"/>
      </w:rPr>
      <w:t>6</w:t>
    </w:r>
    <w:r w:rsidRPr="00B018F7">
      <w:rPr>
        <w:rFonts w:cs="Times-Bold"/>
        <w:bCs/>
        <w:color w:val="000000"/>
        <w:sz w:val="18"/>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46637" w14:textId="111C9024" w:rsidR="009F1172" w:rsidRPr="00005D77" w:rsidRDefault="009F1172" w:rsidP="00A11EA5">
    <w:pPr>
      <w:pStyle w:val="Rodap"/>
      <w:jc w:val="center"/>
      <w:rPr>
        <w:sz w:val="18"/>
      </w:rPr>
    </w:pPr>
    <w:r>
      <w:rPr>
        <w:noProof/>
        <w:sz w:val="18"/>
        <w:lang w:eastAsia="pt-BR"/>
      </w:rPr>
      <mc:AlternateContent>
        <mc:Choice Requires="wps">
          <w:drawing>
            <wp:anchor distT="4294967295" distB="4294967295" distL="114300" distR="114300" simplePos="0" relativeHeight="251653632" behindDoc="0" locked="0" layoutInCell="1" allowOverlap="1" wp14:anchorId="3A5DDBC6" wp14:editId="430A4A3E">
              <wp:simplePos x="0" y="0"/>
              <wp:positionH relativeFrom="column">
                <wp:posOffset>457200</wp:posOffset>
              </wp:positionH>
              <wp:positionV relativeFrom="paragraph">
                <wp:posOffset>-127636</wp:posOffset>
              </wp:positionV>
              <wp:extent cx="5486400" cy="0"/>
              <wp:effectExtent l="38100" t="38100" r="57150" b="57150"/>
              <wp:wrapTight wrapText="bothSides">
                <wp:wrapPolygon edited="0">
                  <wp:start x="-150" y="-1"/>
                  <wp:lineTo x="-150" y="-1"/>
                  <wp:lineTo x="21750" y="-1"/>
                  <wp:lineTo x="21750" y="-1"/>
                  <wp:lineTo x="-150" y="-1"/>
                </wp:wrapPolygon>
              </wp:wrapTight>
              <wp:docPr id="36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5875">
                        <a:solidFill>
                          <a:srgbClr val="5A5A5A">
                            <a:alpha val="50000"/>
                          </a:srgbClr>
                        </a:solidFill>
                        <a:round/>
                        <a:headEnd/>
                        <a:tailEnd/>
                      </a:ln>
                      <a:effectLst>
                        <a:outerShdw blurRad="381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6B30A" id="Line 8"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10.05pt" to="46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" strokecolor="#5a5a5a" strokeweight="1.25pt">
              <v:stroke opacity="32896f"/>
              <v:shadow on="t" opacity="22938f" offset="0,0"/>
              <w10:wrap type="tight"/>
            </v:line>
          </w:pict>
        </mc:Fallback>
      </mc:AlternateContent>
    </w:r>
    <w:r>
      <w:rPr>
        <w:rFonts w:cs="Times-Bold"/>
        <w:bCs/>
        <w:color w:val="000000"/>
        <w:sz w:val="18"/>
        <w:szCs w:val="14"/>
      </w:rPr>
      <w:t xml:space="preserve">ISSN 1982-2596                                                                       </w:t>
    </w:r>
    <w:r w:rsidRPr="00B70BD9">
      <w:rPr>
        <w:rFonts w:cs="Times-Bold"/>
        <w:bCs/>
        <w:color w:val="000000"/>
        <w:sz w:val="18"/>
        <w:szCs w:val="18"/>
      </w:rPr>
      <w:t xml:space="preserve">RPCA </w:t>
    </w:r>
    <w:r w:rsidRPr="00B70BD9">
      <w:rPr>
        <w:sz w:val="18"/>
        <w:szCs w:val="18"/>
      </w:rPr>
      <w:t>|</w:t>
    </w:r>
    <w:r w:rsidRPr="00B70BD9">
      <w:rPr>
        <w:rFonts w:cs="Times-Bold"/>
        <w:bCs/>
        <w:color w:val="000000"/>
        <w:sz w:val="18"/>
        <w:szCs w:val="18"/>
      </w:rPr>
      <w:t xml:space="preserve"> Rio de Janeiro </w:t>
    </w:r>
    <w:r w:rsidRPr="00B70BD9">
      <w:rPr>
        <w:sz w:val="18"/>
        <w:szCs w:val="18"/>
      </w:rPr>
      <w:t>|</w:t>
    </w:r>
    <w:r w:rsidRPr="00B70BD9">
      <w:rPr>
        <w:rFonts w:cs="Times-Bold"/>
        <w:bCs/>
        <w:color w:val="000000"/>
        <w:sz w:val="18"/>
        <w:szCs w:val="18"/>
      </w:rPr>
      <w:t xml:space="preserve"> </w:t>
    </w:r>
    <w:r w:rsidR="000650AB">
      <w:rPr>
        <w:rFonts w:cs="Times-Bold"/>
        <w:bCs/>
        <w:color w:val="000000"/>
        <w:sz w:val="18"/>
        <w:szCs w:val="18"/>
      </w:rPr>
      <w:t xml:space="preserve">v. 18 </w:t>
    </w:r>
    <w:r w:rsidR="000650AB">
      <w:rPr>
        <w:sz w:val="18"/>
        <w:szCs w:val="18"/>
      </w:rPr>
      <w:t>|</w:t>
    </w:r>
    <w:r w:rsidR="000650AB">
      <w:rPr>
        <w:rFonts w:cs="Times-Bold"/>
        <w:bCs/>
        <w:color w:val="000000"/>
        <w:sz w:val="18"/>
        <w:szCs w:val="18"/>
      </w:rPr>
      <w:t xml:space="preserve"> </w:t>
    </w:r>
    <w:r w:rsidR="00DB1244">
      <w:rPr>
        <w:rFonts w:cs="Times-Bold"/>
        <w:bCs/>
        <w:color w:val="000000"/>
        <w:sz w:val="18"/>
        <w:szCs w:val="18"/>
      </w:rPr>
      <w:t xml:space="preserve">n. </w:t>
    </w:r>
    <w:r w:rsidR="00F20F64">
      <w:rPr>
        <w:rFonts w:cs="Times-Bold"/>
        <w:bCs/>
        <w:color w:val="000000"/>
        <w:sz w:val="18"/>
        <w:szCs w:val="18"/>
      </w:rPr>
      <w:t xml:space="preserve">3 </w:t>
    </w:r>
    <w:r w:rsidR="00F20F64">
      <w:rPr>
        <w:sz w:val="18"/>
        <w:szCs w:val="18"/>
      </w:rPr>
      <w:t>| jul. – set</w:t>
    </w:r>
    <w:r w:rsidR="00DB1244">
      <w:rPr>
        <w:sz w:val="18"/>
        <w:szCs w:val="18"/>
      </w:rPr>
      <w:t xml:space="preserve">. </w:t>
    </w:r>
    <w:r w:rsidR="000650AB">
      <w:rPr>
        <w:sz w:val="18"/>
        <w:szCs w:val="18"/>
      </w:rPr>
      <w:t>2024</w:t>
    </w:r>
    <w:r w:rsidR="000650AB">
      <w:rPr>
        <w:rFonts w:cs="Times-Bold"/>
        <w:bCs/>
        <w:color w:val="000000"/>
        <w:sz w:val="18"/>
        <w:szCs w:val="14"/>
      </w:rPr>
      <w:t xml:space="preserve">                    </w:t>
    </w:r>
    <w:r w:rsidRPr="00B018F7">
      <w:rPr>
        <w:rFonts w:cs="Times-Bold"/>
        <w:bCs/>
        <w:color w:val="000000"/>
        <w:sz w:val="18"/>
        <w:szCs w:val="14"/>
      </w:rPr>
      <w:fldChar w:fldCharType="begin"/>
    </w:r>
    <w:r w:rsidRPr="00B018F7">
      <w:rPr>
        <w:rFonts w:cs="Times-Bold"/>
        <w:bCs/>
        <w:color w:val="000000"/>
        <w:sz w:val="18"/>
        <w:szCs w:val="14"/>
      </w:rPr>
      <w:instrText xml:space="preserve"> PAGE   \* MERGEFORMAT </w:instrText>
    </w:r>
    <w:r w:rsidRPr="00B018F7">
      <w:rPr>
        <w:rFonts w:cs="Times-Bold"/>
        <w:bCs/>
        <w:color w:val="000000"/>
        <w:sz w:val="18"/>
        <w:szCs w:val="14"/>
      </w:rPr>
      <w:fldChar w:fldCharType="separate"/>
    </w:r>
    <w:r w:rsidR="00DB1244">
      <w:rPr>
        <w:rFonts w:cs="Times-Bold"/>
        <w:bCs/>
        <w:noProof/>
        <w:color w:val="000000"/>
        <w:sz w:val="18"/>
        <w:szCs w:val="14"/>
      </w:rPr>
      <w:t>3</w:t>
    </w:r>
    <w:r w:rsidRPr="00B018F7">
      <w:rPr>
        <w:rFonts w:cs="Times-Bold"/>
        <w:bCs/>
        <w:color w:val="000000"/>
        <w:sz w:val="18"/>
        <w:szCs w:val="14"/>
      </w:rPr>
      <w:fldChar w:fldCharType="end"/>
    </w:r>
    <w:r>
      <w:rPr>
        <w:rFonts w:cs="Times-Bold"/>
        <w:bCs/>
        <w:color w:val="000000"/>
        <w:sz w:val="18"/>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8202A" w14:textId="77777777" w:rsidR="009F1172" w:rsidRDefault="009F1172" w:rsidP="00C56F34">
    <w:pPr>
      <w:pStyle w:val="Rodap"/>
      <w:tabs>
        <w:tab w:val="clear" w:pos="4320"/>
        <w:tab w:val="clear" w:pos="8640"/>
        <w:tab w:val="left" w:pos="6330"/>
      </w:tabs>
      <w:rPr>
        <w:rFonts w:cs="Times-Bold"/>
        <w:bCs/>
        <w:color w:val="000000"/>
        <w:sz w:val="18"/>
        <w:szCs w:val="14"/>
      </w:rPr>
    </w:pPr>
    <w:r>
      <w:rPr>
        <w:rFonts w:cs="Times-Bold"/>
        <w:bCs/>
        <w:noProof/>
        <w:color w:val="000000"/>
        <w:sz w:val="18"/>
        <w:szCs w:val="14"/>
        <w:lang w:eastAsia="pt-BR"/>
      </w:rPr>
      <mc:AlternateContent>
        <mc:Choice Requires="wps">
          <w:drawing>
            <wp:anchor distT="4294967295" distB="4294967295" distL="114300" distR="114300" simplePos="0" relativeHeight="251661824" behindDoc="0" locked="0" layoutInCell="1" allowOverlap="1" wp14:anchorId="3DAA1186" wp14:editId="6DCAD608">
              <wp:simplePos x="0" y="0"/>
              <wp:positionH relativeFrom="column">
                <wp:posOffset>9525</wp:posOffset>
              </wp:positionH>
              <wp:positionV relativeFrom="paragraph">
                <wp:posOffset>-5081</wp:posOffset>
              </wp:positionV>
              <wp:extent cx="5852160" cy="0"/>
              <wp:effectExtent l="38100" t="38100" r="72390" b="57150"/>
              <wp:wrapTight wrapText="bothSides">
                <wp:wrapPolygon edited="0">
                  <wp:start x="-141" y="-1"/>
                  <wp:lineTo x="-141" y="-1"/>
                  <wp:lineTo x="21797" y="-1"/>
                  <wp:lineTo x="21797" y="-1"/>
                  <wp:lineTo x="-141" y="-1"/>
                </wp:wrapPolygon>
              </wp:wrapTight>
              <wp:docPr id="35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5875">
                        <a:solidFill>
                          <a:srgbClr val="5A5A5A">
                            <a:alpha val="50000"/>
                          </a:srgbClr>
                        </a:solidFill>
                        <a:round/>
                        <a:headEnd/>
                        <a:tailEnd/>
                      </a:ln>
                      <a:effectLst>
                        <a:outerShdw blurRad="381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0E57C" id="Line 23"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4pt" to="461.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" strokecolor="#5a5a5a" strokeweight="1.25pt">
              <v:stroke opacity="32896f"/>
              <v:shadow on="t" opacity="22938f" offset="0,0"/>
              <w10:wrap type="tight"/>
            </v:line>
          </w:pict>
        </mc:Fallback>
      </mc:AlternateContent>
    </w:r>
  </w:p>
  <w:p w14:paraId="0536E180" w14:textId="0E299D1F" w:rsidR="009F1172" w:rsidRDefault="009F1172" w:rsidP="00C56F34">
    <w:pPr>
      <w:pStyle w:val="Rodap"/>
      <w:tabs>
        <w:tab w:val="clear" w:pos="4320"/>
        <w:tab w:val="clear" w:pos="8640"/>
        <w:tab w:val="left" w:pos="6330"/>
      </w:tabs>
    </w:pPr>
    <w:r>
      <w:rPr>
        <w:rFonts w:cs="Times-Bold"/>
        <w:bCs/>
        <w:color w:val="000000"/>
        <w:sz w:val="18"/>
        <w:szCs w:val="14"/>
      </w:rPr>
      <w:t>ISSN 1982-</w:t>
    </w:r>
    <w:r w:rsidRPr="00B70BD9">
      <w:rPr>
        <w:rFonts w:cs="Times-Bold"/>
        <w:bCs/>
        <w:color w:val="000000"/>
        <w:sz w:val="18"/>
        <w:szCs w:val="18"/>
      </w:rPr>
      <w:t xml:space="preserve">2596                                                                               RPCA </w:t>
    </w:r>
    <w:r w:rsidRPr="00B70BD9">
      <w:rPr>
        <w:sz w:val="18"/>
        <w:szCs w:val="18"/>
      </w:rPr>
      <w:t>|</w:t>
    </w:r>
    <w:r w:rsidRPr="00B70BD9">
      <w:rPr>
        <w:rFonts w:cs="Times-Bold"/>
        <w:bCs/>
        <w:color w:val="000000"/>
        <w:sz w:val="18"/>
        <w:szCs w:val="18"/>
      </w:rPr>
      <w:t xml:space="preserve"> Rio de Janeiro </w:t>
    </w:r>
    <w:r w:rsidRPr="00B70BD9">
      <w:rPr>
        <w:sz w:val="18"/>
        <w:szCs w:val="18"/>
      </w:rPr>
      <w:t>|</w:t>
    </w:r>
    <w:r w:rsidRPr="00B70BD9">
      <w:rPr>
        <w:rFonts w:cs="Times-Bold"/>
        <w:bCs/>
        <w:color w:val="000000"/>
        <w:sz w:val="18"/>
        <w:szCs w:val="18"/>
      </w:rPr>
      <w:t xml:space="preserve"> </w:t>
    </w:r>
    <w:r w:rsidR="000650AB">
      <w:rPr>
        <w:rFonts w:cs="Times-Bold"/>
        <w:bCs/>
        <w:color w:val="000000"/>
        <w:sz w:val="18"/>
        <w:szCs w:val="18"/>
      </w:rPr>
      <w:t xml:space="preserve">v. 18 </w:t>
    </w:r>
    <w:r w:rsidR="000650AB">
      <w:rPr>
        <w:sz w:val="18"/>
        <w:szCs w:val="18"/>
      </w:rPr>
      <w:t>|</w:t>
    </w:r>
    <w:r w:rsidR="000650AB">
      <w:rPr>
        <w:rFonts w:cs="Times-Bold"/>
        <w:bCs/>
        <w:color w:val="000000"/>
        <w:sz w:val="18"/>
        <w:szCs w:val="18"/>
      </w:rPr>
      <w:t xml:space="preserve"> </w:t>
    </w:r>
    <w:r w:rsidR="00DB1244">
      <w:rPr>
        <w:rFonts w:cs="Times-Bold"/>
        <w:bCs/>
        <w:color w:val="000000"/>
        <w:sz w:val="18"/>
        <w:szCs w:val="18"/>
      </w:rPr>
      <w:t xml:space="preserve">n. </w:t>
    </w:r>
    <w:r w:rsidR="00F20F64">
      <w:rPr>
        <w:rFonts w:cs="Times-Bold"/>
        <w:bCs/>
        <w:color w:val="000000"/>
        <w:sz w:val="18"/>
        <w:szCs w:val="18"/>
      </w:rPr>
      <w:t>3</w:t>
    </w:r>
    <w:r w:rsidR="00DB1244">
      <w:rPr>
        <w:rFonts w:cs="Times-Bold"/>
        <w:bCs/>
        <w:color w:val="000000"/>
        <w:sz w:val="18"/>
        <w:szCs w:val="18"/>
      </w:rPr>
      <w:t xml:space="preserve"> </w:t>
    </w:r>
    <w:r w:rsidR="00DB1244">
      <w:rPr>
        <w:sz w:val="18"/>
        <w:szCs w:val="18"/>
      </w:rPr>
      <w:t xml:space="preserve">| </w:t>
    </w:r>
    <w:r w:rsidR="00F20F64">
      <w:rPr>
        <w:sz w:val="18"/>
        <w:szCs w:val="18"/>
      </w:rPr>
      <w:t>jul</w:t>
    </w:r>
    <w:r w:rsidR="00DB1244">
      <w:rPr>
        <w:sz w:val="18"/>
        <w:szCs w:val="18"/>
      </w:rPr>
      <w:t xml:space="preserve">. – </w:t>
    </w:r>
    <w:r w:rsidR="00F20F64">
      <w:rPr>
        <w:sz w:val="18"/>
        <w:szCs w:val="18"/>
      </w:rPr>
      <w:t>set</w:t>
    </w:r>
    <w:r w:rsidR="00DB1244">
      <w:rPr>
        <w:sz w:val="18"/>
        <w:szCs w:val="18"/>
      </w:rPr>
      <w:t xml:space="preserve">. </w:t>
    </w:r>
    <w:r w:rsidR="000650AB">
      <w:rPr>
        <w:sz w:val="18"/>
        <w:szCs w:val="18"/>
      </w:rPr>
      <w:t>2024</w:t>
    </w:r>
    <w:r w:rsidR="000650AB">
      <w:rPr>
        <w:rFonts w:cs="Times-Bold"/>
        <w:bCs/>
        <w:color w:val="000000"/>
        <w:sz w:val="18"/>
        <w:szCs w:val="14"/>
      </w:rPr>
      <w:t xml:space="preserve">                    </w:t>
    </w:r>
    <w:r w:rsidRPr="00B018F7">
      <w:rPr>
        <w:rFonts w:cs="Times-Bold"/>
        <w:bCs/>
        <w:color w:val="000000"/>
        <w:sz w:val="18"/>
        <w:szCs w:val="14"/>
      </w:rPr>
      <w:fldChar w:fldCharType="begin"/>
    </w:r>
    <w:r w:rsidRPr="00B018F7">
      <w:rPr>
        <w:rFonts w:cs="Times-Bold"/>
        <w:bCs/>
        <w:color w:val="000000"/>
        <w:sz w:val="18"/>
        <w:szCs w:val="14"/>
      </w:rPr>
      <w:instrText xml:space="preserve"> PAGE   \* MERGEFORMAT </w:instrText>
    </w:r>
    <w:r w:rsidRPr="00B018F7">
      <w:rPr>
        <w:rFonts w:cs="Times-Bold"/>
        <w:bCs/>
        <w:color w:val="000000"/>
        <w:sz w:val="18"/>
        <w:szCs w:val="14"/>
      </w:rPr>
      <w:fldChar w:fldCharType="separate"/>
    </w:r>
    <w:r w:rsidR="00DB1244">
      <w:rPr>
        <w:rFonts w:cs="Times-Bold"/>
        <w:bCs/>
        <w:noProof/>
        <w:color w:val="000000"/>
        <w:sz w:val="18"/>
        <w:szCs w:val="14"/>
      </w:rPr>
      <w:t>1</w:t>
    </w:r>
    <w:r w:rsidRPr="00B018F7">
      <w:rPr>
        <w:rFonts w:cs="Times-Bold"/>
        <w:bCs/>
        <w:color w:val="000000"/>
        <w:sz w:val="18"/>
        <w:szCs w:val="14"/>
      </w:rPr>
      <w:fldChar w:fldCharType="end"/>
    </w:r>
  </w:p>
  <w:p w14:paraId="257590E4" w14:textId="77777777" w:rsidR="009F1172" w:rsidRDefault="009F117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7448F" w14:textId="77777777" w:rsidR="00247484" w:rsidRDefault="00247484">
      <w:pPr>
        <w:spacing w:after="0"/>
      </w:pPr>
      <w:r>
        <w:separator/>
      </w:r>
    </w:p>
  </w:footnote>
  <w:footnote w:type="continuationSeparator" w:id="0">
    <w:p w14:paraId="6AF57BDA" w14:textId="77777777" w:rsidR="00247484" w:rsidRDefault="002474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DBCA1" w14:textId="50AE049E" w:rsidR="001571CD" w:rsidRPr="001571CD" w:rsidRDefault="000B7470" w:rsidP="00E55C6A">
    <w:pPr>
      <w:spacing w:after="0"/>
      <w:jc w:val="right"/>
      <w:rPr>
        <w:rFonts w:ascii="Garamond" w:hAnsi="Garamond"/>
        <w:b/>
        <w:sz w:val="22"/>
        <w:szCs w:val="22"/>
        <w:lang w:eastAsia="pt-BR"/>
      </w:rPr>
    </w:pPr>
    <w:r w:rsidRPr="00392B6C">
      <w:rPr>
        <w:rFonts w:ascii="Garamond" w:hAnsi="Garamond"/>
        <w:b/>
        <w:sz w:val="22"/>
        <w:szCs w:val="22"/>
        <w:lang w:eastAsia="pt-BR"/>
      </w:rPr>
      <w:t>Efeitos  de perceber um chamado: um modelo estrutural</w:t>
    </w:r>
  </w:p>
  <w:p w14:paraId="39AA1819" w14:textId="77777777" w:rsidR="009F1172" w:rsidRDefault="009F1172" w:rsidP="009603D3">
    <w:pPr>
      <w:jc w:val="center"/>
    </w:pPr>
    <w:r>
      <w:rPr>
        <w:noProof/>
        <w:lang w:eastAsia="pt-BR"/>
      </w:rPr>
      <mc:AlternateContent>
        <mc:Choice Requires="wps">
          <w:drawing>
            <wp:anchor distT="4294967295" distB="4294967295" distL="114300" distR="114300" simplePos="0" relativeHeight="251656704" behindDoc="0" locked="0" layoutInCell="1" allowOverlap="1" wp14:anchorId="49AFC05D" wp14:editId="094F73BD">
              <wp:simplePos x="0" y="0"/>
              <wp:positionH relativeFrom="column">
                <wp:posOffset>146685</wp:posOffset>
              </wp:positionH>
              <wp:positionV relativeFrom="paragraph">
                <wp:posOffset>90805</wp:posOffset>
              </wp:positionV>
              <wp:extent cx="6000750" cy="0"/>
              <wp:effectExtent l="38100" t="38100" r="57150" b="57150"/>
              <wp:wrapNone/>
              <wp:docPr id="36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15875">
                        <a:solidFill>
                          <a:srgbClr val="5A5A5A">
                            <a:alpha val="50000"/>
                          </a:srgbClr>
                        </a:solidFill>
                        <a:round/>
                        <a:headEnd/>
                        <a:tailEnd/>
                      </a:ln>
                      <a:effectLst>
                        <a:outerShdw blurRad="381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C607E" id="Line 1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7.15pt" to="484.0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" strokecolor="#5a5a5a" strokeweight="1.25pt">
              <v:stroke opacity="32896f"/>
              <v:shadow on="t" opacity="22938f" offset="0,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8924A" w14:textId="514AD2D1" w:rsidR="009F1172" w:rsidRPr="009F1172" w:rsidRDefault="00392B6C" w:rsidP="009F1172">
    <w:pPr>
      <w:autoSpaceDE w:val="0"/>
      <w:autoSpaceDN w:val="0"/>
      <w:adjustRightInd w:val="0"/>
      <w:spacing w:after="0"/>
      <w:rPr>
        <w:rFonts w:ascii="Garamond" w:hAnsi="Garamond"/>
        <w:b/>
        <w:sz w:val="22"/>
        <w:szCs w:val="22"/>
        <w:lang w:eastAsia="pt-BR"/>
      </w:rPr>
    </w:pPr>
    <w:proofErr w:type="spellStart"/>
    <w:r>
      <w:rPr>
        <w:rFonts w:ascii="Garamond" w:hAnsi="Garamond"/>
        <w:b/>
        <w:sz w:val="22"/>
        <w:szCs w:val="22"/>
        <w:lang w:eastAsia="pt-BR"/>
      </w:rPr>
      <w:t>Wellynton</w:t>
    </w:r>
    <w:proofErr w:type="spellEnd"/>
    <w:r>
      <w:rPr>
        <w:rFonts w:ascii="Garamond" w:hAnsi="Garamond"/>
        <w:b/>
        <w:sz w:val="22"/>
        <w:szCs w:val="22"/>
        <w:lang w:eastAsia="pt-BR"/>
      </w:rPr>
      <w:t xml:space="preserve"> Diniz</w:t>
    </w:r>
    <w:r w:rsidR="00CB1B56">
      <w:rPr>
        <w:rFonts w:ascii="Garamond" w:hAnsi="Garamond"/>
        <w:b/>
        <w:sz w:val="22"/>
        <w:szCs w:val="22"/>
        <w:lang w:eastAsia="pt-BR"/>
      </w:rPr>
      <w:t xml:space="preserve">, </w:t>
    </w:r>
    <w:proofErr w:type="spellStart"/>
    <w:r w:rsidR="00CB1B56">
      <w:rPr>
        <w:rFonts w:ascii="Garamond" w:hAnsi="Garamond"/>
        <w:b/>
        <w:sz w:val="22"/>
        <w:szCs w:val="22"/>
        <w:lang w:eastAsia="pt-BR"/>
      </w:rPr>
      <w:t>Rozélia</w:t>
    </w:r>
    <w:proofErr w:type="spellEnd"/>
    <w:r w:rsidR="00CB1B56">
      <w:rPr>
        <w:rFonts w:ascii="Garamond" w:hAnsi="Garamond"/>
        <w:b/>
        <w:sz w:val="22"/>
        <w:szCs w:val="22"/>
        <w:lang w:eastAsia="pt-BR"/>
      </w:rPr>
      <w:t xml:space="preserve"> </w:t>
    </w:r>
    <w:proofErr w:type="spellStart"/>
    <w:r w:rsidR="00CB1B56">
      <w:rPr>
        <w:rFonts w:ascii="Garamond" w:hAnsi="Garamond"/>
        <w:b/>
        <w:sz w:val="22"/>
        <w:szCs w:val="22"/>
        <w:lang w:eastAsia="pt-BR"/>
      </w:rPr>
      <w:t>Lauretti</w:t>
    </w:r>
    <w:proofErr w:type="spellEnd"/>
    <w:r w:rsidR="00CB1B56">
      <w:rPr>
        <w:rFonts w:ascii="Garamond" w:hAnsi="Garamond"/>
        <w:b/>
        <w:sz w:val="22"/>
        <w:szCs w:val="22"/>
        <w:lang w:eastAsia="pt-BR"/>
      </w:rPr>
      <w:t xml:space="preserve"> e Bruno Félix</w:t>
    </w:r>
  </w:p>
  <w:p w14:paraId="71C0EE22" w14:textId="77777777" w:rsidR="009F1172" w:rsidRPr="00721634" w:rsidRDefault="009F1172" w:rsidP="00795719">
    <w:pPr>
      <w:spacing w:after="0"/>
      <w:jc w:val="center"/>
      <w:rPr>
        <w:rFonts w:ascii="Times New Roman" w:hAnsi="Times New Roman"/>
        <w:b/>
        <w:sz w:val="22"/>
        <w:szCs w:val="22"/>
      </w:rPr>
    </w:pPr>
    <w:r>
      <w:rPr>
        <w:b/>
        <w:noProof/>
        <w:sz w:val="20"/>
        <w:szCs w:val="20"/>
        <w:lang w:eastAsia="pt-BR"/>
      </w:rPr>
      <mc:AlternateContent>
        <mc:Choice Requires="wps">
          <w:drawing>
            <wp:anchor distT="4294967295" distB="4294967295" distL="114300" distR="114300" simplePos="0" relativeHeight="251655680" behindDoc="0" locked="0" layoutInCell="1" allowOverlap="1" wp14:anchorId="48D2980A" wp14:editId="2CE932D2">
              <wp:simplePos x="0" y="0"/>
              <wp:positionH relativeFrom="column">
                <wp:posOffset>-24765</wp:posOffset>
              </wp:positionH>
              <wp:positionV relativeFrom="paragraph">
                <wp:posOffset>163830</wp:posOffset>
              </wp:positionV>
              <wp:extent cx="6057900" cy="0"/>
              <wp:effectExtent l="38100" t="38100" r="57150" b="57150"/>
              <wp:wrapNone/>
              <wp:docPr id="36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5875">
                        <a:solidFill>
                          <a:srgbClr val="5A5A5A">
                            <a:alpha val="50000"/>
                          </a:srgbClr>
                        </a:solidFill>
                        <a:round/>
                        <a:headEnd/>
                        <a:tailEnd/>
                      </a:ln>
                      <a:effectLst>
                        <a:outerShdw blurRad="381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F2EC6" id="Line 18"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pt,12.9pt" to="475.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" strokecolor="#5a5a5a" strokeweight="1.25pt">
              <v:stroke opacity="32896f"/>
              <v:shadow on="t" opacity="22938f" offset="0,0"/>
            </v:line>
          </w:pict>
        </mc:Fallback>
      </mc:AlternateContent>
    </w:r>
  </w:p>
  <w:p w14:paraId="117C729C" w14:textId="77777777" w:rsidR="009F1172" w:rsidRDefault="009F117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5EA9B" w14:textId="77777777" w:rsidR="009F1172" w:rsidRPr="009603D3" w:rsidRDefault="009F1172" w:rsidP="009603D3">
    <w:pPr>
      <w:pStyle w:val="Cabealho"/>
    </w:pPr>
    <w:r>
      <w:rPr>
        <w:noProof/>
        <w:lang w:eastAsia="pt-BR"/>
      </w:rPr>
      <mc:AlternateContent>
        <mc:Choice Requires="wps">
          <w:drawing>
            <wp:anchor distT="0" distB="0" distL="114300" distR="114300" simplePos="0" relativeHeight="251660800" behindDoc="0" locked="0" layoutInCell="1" allowOverlap="1" wp14:anchorId="4E4189A6" wp14:editId="7B6BB34F">
              <wp:simplePos x="0" y="0"/>
              <wp:positionH relativeFrom="column">
                <wp:posOffset>-62865</wp:posOffset>
              </wp:positionH>
              <wp:positionV relativeFrom="paragraph">
                <wp:posOffset>-526415</wp:posOffset>
              </wp:positionV>
              <wp:extent cx="6465570" cy="1314450"/>
              <wp:effectExtent l="0" t="0" r="0" b="0"/>
              <wp:wrapNone/>
              <wp:docPr id="36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7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455FA" w14:textId="77777777" w:rsidR="009F1172" w:rsidRDefault="009F1172" w:rsidP="00110123">
                          <w:pPr>
                            <w:spacing w:before="120"/>
                            <w:ind w:left="7796"/>
                          </w:pPr>
                          <w:r>
                            <w:rPr>
                              <w:noProof/>
                              <w:lang w:eastAsia="pt-BR"/>
                            </w:rPr>
                            <w:drawing>
                              <wp:inline distT="0" distB="0" distL="0" distR="0" wp14:anchorId="31E88985" wp14:editId="554AFBAE">
                                <wp:extent cx="1025396" cy="940435"/>
                                <wp:effectExtent l="0" t="0" r="3810" b="0"/>
                                <wp:docPr id="3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51000" cy="963917"/>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189A6" id="_x0000_t202" coordsize="21600,21600" o:spt="202" path="m,l,21600r21600,l21600,xe">
              <v:stroke joinstyle="miter"/>
              <v:path gradientshapeok="t" o:connecttype="rect"/>
            </v:shapetype>
            <v:shape id="Text Box 28" o:spid="_x0000_s1026" type="#_x0000_t202" style="position:absolute;margin-left:-4.95pt;margin-top:-41.45pt;width:509.1pt;height:10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" filled="f" stroked="f">
              <v:textbox inset=",7.2pt,,7.2pt">
                <w:txbxContent>
                  <w:p w14:paraId="00E455FA" w14:textId="77777777" w:rsidR="009F1172" w:rsidRDefault="009F1172" w:rsidP="00110123">
                    <w:pPr>
                      <w:spacing w:before="120"/>
                      <w:ind w:left="7796"/>
                    </w:pPr>
                    <w:r>
                      <w:rPr>
                        <w:noProof/>
                        <w:lang w:eastAsia="pt-BR"/>
                      </w:rPr>
                      <w:drawing>
                        <wp:inline distT="0" distB="0" distL="0" distR="0" wp14:anchorId="31E88985" wp14:editId="554AFBAE">
                          <wp:extent cx="1025396" cy="940435"/>
                          <wp:effectExtent l="0" t="0" r="3810" b="0"/>
                          <wp:docPr id="3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51000" cy="963917"/>
                                  </a:xfrm>
                                  <a:prstGeom prst="rect">
                                    <a:avLst/>
                                  </a:prstGeom>
                                  <a:noFill/>
                                  <a:ln>
                                    <a:noFill/>
                                  </a:ln>
                                </pic:spPr>
                              </pic:pic>
                            </a:graphicData>
                          </a:graphic>
                        </wp:inline>
                      </w:drawing>
                    </w:r>
                  </w:p>
                </w:txbxContent>
              </v:textbox>
            </v:shape>
          </w:pict>
        </mc:Fallback>
      </mc:AlternateContent>
    </w:r>
    <w:r>
      <w:rPr>
        <w:noProof/>
        <w:lang w:eastAsia="pt-BR"/>
      </w:rPr>
      <mc:AlternateContent>
        <mc:Choice Requires="wps">
          <w:drawing>
            <wp:anchor distT="0" distB="0" distL="114300" distR="114300" simplePos="0" relativeHeight="251658752" behindDoc="0" locked="0" layoutInCell="1" allowOverlap="1" wp14:anchorId="1E2A2707" wp14:editId="56B20C07">
              <wp:simplePos x="0" y="0"/>
              <wp:positionH relativeFrom="column">
                <wp:posOffset>51435</wp:posOffset>
              </wp:positionH>
              <wp:positionV relativeFrom="paragraph">
                <wp:posOffset>359410</wp:posOffset>
              </wp:positionV>
              <wp:extent cx="4714875" cy="0"/>
              <wp:effectExtent l="0" t="0" r="28575" b="19050"/>
              <wp:wrapNone/>
              <wp:docPr id="35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4875" cy="0"/>
                      </a:xfrm>
                      <a:prstGeom prst="line">
                        <a:avLst/>
                      </a:prstGeom>
                      <a:noFill/>
                      <a:ln w="15875">
                        <a:solidFill>
                          <a:srgbClr val="5A5A5A">
                            <a:alpha val="50195"/>
                          </a:srgbClr>
                        </a:solidFill>
                        <a:round/>
                        <a:headEnd/>
                        <a:tailEnd/>
                      </a:ln>
                      <a:effectLst>
                        <a:outerShdw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E0708" id="Line 2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8.3pt" to="375.3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" strokecolor="#5a5a5a" strokeweight="1.25pt">
              <v:stroke opacity="32896f"/>
              <v:shadow on="t" opacity="22938f" offset="0,0"/>
            </v:line>
          </w:pict>
        </mc:Fallback>
      </mc:AlternateContent>
    </w:r>
    <w:r>
      <w:rPr>
        <w:noProof/>
        <w:lang w:eastAsia="pt-BR"/>
      </w:rPr>
      <mc:AlternateContent>
        <mc:Choice Requires="wps">
          <w:drawing>
            <wp:anchor distT="0" distB="0" distL="114300" distR="114300" simplePos="0" relativeHeight="251659776" behindDoc="0" locked="0" layoutInCell="1" allowOverlap="1" wp14:anchorId="614A66A8" wp14:editId="0784598A">
              <wp:simplePos x="0" y="0"/>
              <wp:positionH relativeFrom="column">
                <wp:posOffset>826135</wp:posOffset>
              </wp:positionH>
              <wp:positionV relativeFrom="paragraph">
                <wp:posOffset>-142875</wp:posOffset>
              </wp:positionV>
              <wp:extent cx="1600200" cy="566420"/>
              <wp:effectExtent l="0" t="0" r="0" b="0"/>
              <wp:wrapNone/>
              <wp:docPr id="35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EC241" w14:textId="77777777" w:rsidR="009F1172" w:rsidRDefault="009F1172" w:rsidP="0077540C">
                          <w:r>
                            <w:rPr>
                              <w:noProof/>
                              <w:lang w:eastAsia="pt-BR"/>
                            </w:rPr>
                            <w:drawing>
                              <wp:inline distT="0" distB="0" distL="0" distR="0" wp14:anchorId="64254E94" wp14:editId="06445EE2">
                                <wp:extent cx="798195" cy="293370"/>
                                <wp:effectExtent l="0" t="0" r="1905" b="0"/>
                                <wp:docPr id="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29337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A66A8" id="Text Box 27" o:spid="_x0000_s1027" type="#_x0000_t202" style="position:absolute;margin-left:65.05pt;margin-top:-11.25pt;width:126pt;height:4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" filled="f" stroked="f">
              <v:textbox inset=",7.2pt,,7.2pt">
                <w:txbxContent>
                  <w:p w14:paraId="1E5EC241" w14:textId="77777777" w:rsidR="009F1172" w:rsidRDefault="009F1172" w:rsidP="0077540C">
                    <w:r>
                      <w:rPr>
                        <w:noProof/>
                        <w:lang w:eastAsia="pt-BR"/>
                      </w:rPr>
                      <w:drawing>
                        <wp:inline distT="0" distB="0" distL="0" distR="0" wp14:anchorId="64254E94" wp14:editId="06445EE2">
                          <wp:extent cx="798195" cy="293370"/>
                          <wp:effectExtent l="0" t="0" r="1905" b="0"/>
                          <wp:docPr id="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293370"/>
                                  </a:xfrm>
                                  <a:prstGeom prst="rect">
                                    <a:avLst/>
                                  </a:prstGeom>
                                  <a:noFill/>
                                  <a:ln>
                                    <a:noFill/>
                                  </a:ln>
                                </pic:spPr>
                              </pic:pic>
                            </a:graphicData>
                          </a:graphic>
                        </wp:inline>
                      </w:drawing>
                    </w:r>
                  </w:p>
                </w:txbxContent>
              </v:textbox>
            </v:shape>
          </w:pict>
        </mc:Fallback>
      </mc:AlternateContent>
    </w:r>
    <w:r>
      <w:rPr>
        <w:noProof/>
        <w:lang w:eastAsia="pt-BR"/>
      </w:rPr>
      <mc:AlternateContent>
        <mc:Choice Requires="wps">
          <w:drawing>
            <wp:anchor distT="0" distB="0" distL="114300" distR="114300" simplePos="0" relativeHeight="251657728" behindDoc="0" locked="0" layoutInCell="1" allowOverlap="1" wp14:anchorId="0C578A1D" wp14:editId="4817DE25">
              <wp:simplePos x="0" y="0"/>
              <wp:positionH relativeFrom="column">
                <wp:posOffset>1800860</wp:posOffset>
              </wp:positionH>
              <wp:positionV relativeFrom="paragraph">
                <wp:posOffset>-3175</wp:posOffset>
              </wp:positionV>
              <wp:extent cx="3429000" cy="457200"/>
              <wp:effectExtent l="0" t="0" r="0" b="0"/>
              <wp:wrapNone/>
              <wp:docPr id="35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9CA66" w14:textId="77777777" w:rsidR="009F1172" w:rsidRDefault="009F1172" w:rsidP="0077540C">
                          <w:r>
                            <w:rPr>
                              <w:noProof/>
                              <w:lang w:eastAsia="pt-BR"/>
                            </w:rPr>
                            <w:drawing>
                              <wp:inline distT="0" distB="0" distL="0" distR="0" wp14:anchorId="07F8B2C9" wp14:editId="6AEF82B6">
                                <wp:extent cx="2442845" cy="109220"/>
                                <wp:effectExtent l="0" t="0" r="0" b="5080"/>
                                <wp:docPr id="3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2845" cy="10922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78A1D" id="Text Box 25" o:spid="_x0000_s1028" type="#_x0000_t202" style="position:absolute;margin-left:141.8pt;margin-top:-.25pt;width:270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" filled="f" stroked="f">
              <v:textbox inset=",7.2pt,,7.2pt">
                <w:txbxContent>
                  <w:p w14:paraId="51F9CA66" w14:textId="77777777" w:rsidR="009F1172" w:rsidRDefault="009F1172" w:rsidP="0077540C">
                    <w:r>
                      <w:rPr>
                        <w:noProof/>
                        <w:lang w:eastAsia="pt-BR"/>
                      </w:rPr>
                      <w:drawing>
                        <wp:inline distT="0" distB="0" distL="0" distR="0" wp14:anchorId="07F8B2C9" wp14:editId="6AEF82B6">
                          <wp:extent cx="2442845" cy="109220"/>
                          <wp:effectExtent l="0" t="0" r="0" b="5080"/>
                          <wp:docPr id="3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2845" cy="109220"/>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E2A1B"/>
    <w:multiLevelType w:val="hybridMultilevel"/>
    <w:tmpl w:val="29E8F77A"/>
    <w:lvl w:ilvl="0" w:tplc="375AD89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10485665"/>
    <w:multiLevelType w:val="hybridMultilevel"/>
    <w:tmpl w:val="68060D40"/>
    <w:lvl w:ilvl="0" w:tplc="968CE8CE">
      <w:start w:val="1"/>
      <w:numFmt w:val="lowerRoman"/>
      <w:lvlText w:val="%1)"/>
      <w:lvlJc w:val="left"/>
      <w:pPr>
        <w:ind w:left="720" w:hanging="360"/>
      </w:pPr>
      <w:rPr>
        <w:rFonts w:ascii="TimesNewRomanPSMT" w:eastAsia="Calibri" w:hAnsi="TimesNewRomanPSMT" w:cs="TimesNewRomanPSM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6A43869"/>
    <w:multiLevelType w:val="hybridMultilevel"/>
    <w:tmpl w:val="8A16DF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9CB2960"/>
    <w:multiLevelType w:val="hybridMultilevel"/>
    <w:tmpl w:val="EC9A4D80"/>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15:restartNumberingAfterBreak="0">
    <w:nsid w:val="26C32F1E"/>
    <w:multiLevelType w:val="hybridMultilevel"/>
    <w:tmpl w:val="7A628740"/>
    <w:lvl w:ilvl="0" w:tplc="14D22880">
      <w:numFmt w:val="bullet"/>
      <w:lvlText w:val="•"/>
      <w:lvlJc w:val="left"/>
      <w:pPr>
        <w:ind w:left="2628" w:hanging="360"/>
      </w:pPr>
      <w:rPr>
        <w:rFonts w:ascii="Cambria" w:eastAsia="Cambria" w:hAnsi="Cambria" w:cs="Times New Roman" w:hint="default"/>
      </w:rPr>
    </w:lvl>
    <w:lvl w:ilvl="1" w:tplc="04160003" w:tentative="1">
      <w:start w:val="1"/>
      <w:numFmt w:val="bullet"/>
      <w:lvlText w:val="o"/>
      <w:lvlJc w:val="left"/>
      <w:pPr>
        <w:ind w:left="3348" w:hanging="360"/>
      </w:pPr>
      <w:rPr>
        <w:rFonts w:ascii="Courier New" w:hAnsi="Courier New" w:cs="Courier New" w:hint="default"/>
      </w:rPr>
    </w:lvl>
    <w:lvl w:ilvl="2" w:tplc="04160005" w:tentative="1">
      <w:start w:val="1"/>
      <w:numFmt w:val="bullet"/>
      <w:lvlText w:val=""/>
      <w:lvlJc w:val="left"/>
      <w:pPr>
        <w:ind w:left="4068" w:hanging="360"/>
      </w:pPr>
      <w:rPr>
        <w:rFonts w:ascii="Wingdings" w:hAnsi="Wingdings" w:hint="default"/>
      </w:rPr>
    </w:lvl>
    <w:lvl w:ilvl="3" w:tplc="04160001" w:tentative="1">
      <w:start w:val="1"/>
      <w:numFmt w:val="bullet"/>
      <w:lvlText w:val=""/>
      <w:lvlJc w:val="left"/>
      <w:pPr>
        <w:ind w:left="4788" w:hanging="360"/>
      </w:pPr>
      <w:rPr>
        <w:rFonts w:ascii="Symbol" w:hAnsi="Symbol" w:hint="default"/>
      </w:rPr>
    </w:lvl>
    <w:lvl w:ilvl="4" w:tplc="04160003" w:tentative="1">
      <w:start w:val="1"/>
      <w:numFmt w:val="bullet"/>
      <w:lvlText w:val="o"/>
      <w:lvlJc w:val="left"/>
      <w:pPr>
        <w:ind w:left="5508" w:hanging="360"/>
      </w:pPr>
      <w:rPr>
        <w:rFonts w:ascii="Courier New" w:hAnsi="Courier New" w:cs="Courier New" w:hint="default"/>
      </w:rPr>
    </w:lvl>
    <w:lvl w:ilvl="5" w:tplc="04160005" w:tentative="1">
      <w:start w:val="1"/>
      <w:numFmt w:val="bullet"/>
      <w:lvlText w:val=""/>
      <w:lvlJc w:val="left"/>
      <w:pPr>
        <w:ind w:left="6228" w:hanging="360"/>
      </w:pPr>
      <w:rPr>
        <w:rFonts w:ascii="Wingdings" w:hAnsi="Wingdings" w:hint="default"/>
      </w:rPr>
    </w:lvl>
    <w:lvl w:ilvl="6" w:tplc="04160001" w:tentative="1">
      <w:start w:val="1"/>
      <w:numFmt w:val="bullet"/>
      <w:lvlText w:val=""/>
      <w:lvlJc w:val="left"/>
      <w:pPr>
        <w:ind w:left="6948" w:hanging="360"/>
      </w:pPr>
      <w:rPr>
        <w:rFonts w:ascii="Symbol" w:hAnsi="Symbol" w:hint="default"/>
      </w:rPr>
    </w:lvl>
    <w:lvl w:ilvl="7" w:tplc="04160003" w:tentative="1">
      <w:start w:val="1"/>
      <w:numFmt w:val="bullet"/>
      <w:lvlText w:val="o"/>
      <w:lvlJc w:val="left"/>
      <w:pPr>
        <w:ind w:left="7668" w:hanging="360"/>
      </w:pPr>
      <w:rPr>
        <w:rFonts w:ascii="Courier New" w:hAnsi="Courier New" w:cs="Courier New" w:hint="default"/>
      </w:rPr>
    </w:lvl>
    <w:lvl w:ilvl="8" w:tplc="04160005" w:tentative="1">
      <w:start w:val="1"/>
      <w:numFmt w:val="bullet"/>
      <w:lvlText w:val=""/>
      <w:lvlJc w:val="left"/>
      <w:pPr>
        <w:ind w:left="8388" w:hanging="360"/>
      </w:pPr>
      <w:rPr>
        <w:rFonts w:ascii="Wingdings" w:hAnsi="Wingdings" w:hint="default"/>
      </w:rPr>
    </w:lvl>
  </w:abstractNum>
  <w:abstractNum w:abstractNumId="5" w15:restartNumberingAfterBreak="0">
    <w:nsid w:val="2B343532"/>
    <w:multiLevelType w:val="hybridMultilevel"/>
    <w:tmpl w:val="EDAC9A4C"/>
    <w:lvl w:ilvl="0" w:tplc="14D22880">
      <w:numFmt w:val="bullet"/>
      <w:lvlText w:val="•"/>
      <w:lvlJc w:val="left"/>
      <w:pPr>
        <w:ind w:left="720" w:hanging="360"/>
      </w:pPr>
      <w:rPr>
        <w:rFonts w:ascii="Cambria" w:eastAsia="Cambria" w:hAnsi="Cambria"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A9F1BA0"/>
    <w:multiLevelType w:val="hybridMultilevel"/>
    <w:tmpl w:val="7AE0864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7" w15:restartNumberingAfterBreak="0">
    <w:nsid w:val="43280A76"/>
    <w:multiLevelType w:val="hybridMultilevel"/>
    <w:tmpl w:val="3EE0A3D4"/>
    <w:lvl w:ilvl="0" w:tplc="F4ACEAD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433F0811"/>
    <w:multiLevelType w:val="hybridMultilevel"/>
    <w:tmpl w:val="148482FC"/>
    <w:lvl w:ilvl="0" w:tplc="14D22880">
      <w:numFmt w:val="bullet"/>
      <w:lvlText w:val="•"/>
      <w:lvlJc w:val="left"/>
      <w:pPr>
        <w:ind w:left="720" w:hanging="360"/>
      </w:pPr>
      <w:rPr>
        <w:rFonts w:ascii="Cambria" w:eastAsia="Cambria" w:hAnsi="Cambria"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525458"/>
    <w:multiLevelType w:val="hybridMultilevel"/>
    <w:tmpl w:val="EAF09700"/>
    <w:lvl w:ilvl="0" w:tplc="14D22880">
      <w:numFmt w:val="bullet"/>
      <w:lvlText w:val="•"/>
      <w:lvlJc w:val="left"/>
      <w:pPr>
        <w:ind w:left="2988" w:hanging="360"/>
      </w:pPr>
      <w:rPr>
        <w:rFonts w:ascii="Cambria" w:eastAsia="Cambria" w:hAnsi="Cambria" w:cs="Times New Roman"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0" w15:restartNumberingAfterBreak="0">
    <w:nsid w:val="56DF6ACB"/>
    <w:multiLevelType w:val="hybridMultilevel"/>
    <w:tmpl w:val="EB8CE836"/>
    <w:lvl w:ilvl="0" w:tplc="09741F8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15:restartNumberingAfterBreak="0">
    <w:nsid w:val="6AE35C51"/>
    <w:multiLevelType w:val="multilevel"/>
    <w:tmpl w:val="832A70E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97026B"/>
    <w:multiLevelType w:val="hybridMultilevel"/>
    <w:tmpl w:val="EEC49E3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52900702">
    <w:abstractNumId w:val="0"/>
  </w:num>
  <w:num w:numId="2" w16cid:durableId="853496347">
    <w:abstractNumId w:val="6"/>
  </w:num>
  <w:num w:numId="3" w16cid:durableId="1587375671">
    <w:abstractNumId w:val="7"/>
  </w:num>
  <w:num w:numId="4" w16cid:durableId="118649020">
    <w:abstractNumId w:val="3"/>
  </w:num>
  <w:num w:numId="5" w16cid:durableId="961573347">
    <w:abstractNumId w:val="10"/>
  </w:num>
  <w:num w:numId="6" w16cid:durableId="2027974784">
    <w:abstractNumId w:val="12"/>
  </w:num>
  <w:num w:numId="7" w16cid:durableId="347829148">
    <w:abstractNumId w:val="1"/>
  </w:num>
  <w:num w:numId="8" w16cid:durableId="1620066501">
    <w:abstractNumId w:val="11"/>
  </w:num>
  <w:num w:numId="9" w16cid:durableId="957761202">
    <w:abstractNumId w:val="2"/>
  </w:num>
  <w:num w:numId="10" w16cid:durableId="1449737818">
    <w:abstractNumId w:val="8"/>
  </w:num>
  <w:num w:numId="11" w16cid:durableId="748845394">
    <w:abstractNumId w:val="5"/>
  </w:num>
  <w:num w:numId="12" w16cid:durableId="1084257507">
    <w:abstractNumId w:val="9"/>
  </w:num>
  <w:num w:numId="13" w16cid:durableId="1089038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evenAndOddHeaders/>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548E"/>
    <w:rsid w:val="00000EF2"/>
    <w:rsid w:val="0000231A"/>
    <w:rsid w:val="00002A28"/>
    <w:rsid w:val="00005295"/>
    <w:rsid w:val="00005D77"/>
    <w:rsid w:val="000069DC"/>
    <w:rsid w:val="00011CAC"/>
    <w:rsid w:val="00012F3B"/>
    <w:rsid w:val="00026D29"/>
    <w:rsid w:val="000324AA"/>
    <w:rsid w:val="000430F2"/>
    <w:rsid w:val="0004548E"/>
    <w:rsid w:val="000512AF"/>
    <w:rsid w:val="000650AB"/>
    <w:rsid w:val="00083549"/>
    <w:rsid w:val="000869E6"/>
    <w:rsid w:val="00094293"/>
    <w:rsid w:val="00097BDB"/>
    <w:rsid w:val="000A34B4"/>
    <w:rsid w:val="000B1527"/>
    <w:rsid w:val="000B6DBB"/>
    <w:rsid w:val="000B733E"/>
    <w:rsid w:val="000B7470"/>
    <w:rsid w:val="000E1FCD"/>
    <w:rsid w:val="000E4CFF"/>
    <w:rsid w:val="000F0EF3"/>
    <w:rsid w:val="000F2361"/>
    <w:rsid w:val="00107F3F"/>
    <w:rsid w:val="00110123"/>
    <w:rsid w:val="001177BB"/>
    <w:rsid w:val="00133A21"/>
    <w:rsid w:val="001350CB"/>
    <w:rsid w:val="001456DA"/>
    <w:rsid w:val="0014582D"/>
    <w:rsid w:val="001571CD"/>
    <w:rsid w:val="001619E1"/>
    <w:rsid w:val="001709D9"/>
    <w:rsid w:val="001831F4"/>
    <w:rsid w:val="001A10DB"/>
    <w:rsid w:val="001A7BDA"/>
    <w:rsid w:val="001B4FD3"/>
    <w:rsid w:val="001C7B06"/>
    <w:rsid w:val="001D4090"/>
    <w:rsid w:val="001D5E0D"/>
    <w:rsid w:val="001E3EBD"/>
    <w:rsid w:val="001E53C5"/>
    <w:rsid w:val="001E6EA3"/>
    <w:rsid w:val="001F4F03"/>
    <w:rsid w:val="001F6FFD"/>
    <w:rsid w:val="002000CA"/>
    <w:rsid w:val="002068CC"/>
    <w:rsid w:val="00222CAA"/>
    <w:rsid w:val="00223F1C"/>
    <w:rsid w:val="00232E3A"/>
    <w:rsid w:val="0024437A"/>
    <w:rsid w:val="00246157"/>
    <w:rsid w:val="00247484"/>
    <w:rsid w:val="0025293A"/>
    <w:rsid w:val="00253B1C"/>
    <w:rsid w:val="002627D2"/>
    <w:rsid w:val="00262D55"/>
    <w:rsid w:val="00263786"/>
    <w:rsid w:val="0027310E"/>
    <w:rsid w:val="002869D4"/>
    <w:rsid w:val="002939DF"/>
    <w:rsid w:val="002954EC"/>
    <w:rsid w:val="00295646"/>
    <w:rsid w:val="002B5297"/>
    <w:rsid w:val="002C3CF5"/>
    <w:rsid w:val="002C626D"/>
    <w:rsid w:val="002C73A0"/>
    <w:rsid w:val="002D6D2B"/>
    <w:rsid w:val="002F0571"/>
    <w:rsid w:val="002F0D79"/>
    <w:rsid w:val="002F3642"/>
    <w:rsid w:val="002F77A5"/>
    <w:rsid w:val="002F7EB5"/>
    <w:rsid w:val="00301C08"/>
    <w:rsid w:val="00302A52"/>
    <w:rsid w:val="0031365A"/>
    <w:rsid w:val="0031429A"/>
    <w:rsid w:val="00315FE6"/>
    <w:rsid w:val="003166A4"/>
    <w:rsid w:val="00327E1D"/>
    <w:rsid w:val="0033188D"/>
    <w:rsid w:val="003341D7"/>
    <w:rsid w:val="00342A5B"/>
    <w:rsid w:val="00354913"/>
    <w:rsid w:val="00361419"/>
    <w:rsid w:val="00375EF0"/>
    <w:rsid w:val="00380A2C"/>
    <w:rsid w:val="00381EA1"/>
    <w:rsid w:val="00391F08"/>
    <w:rsid w:val="00392B6C"/>
    <w:rsid w:val="00397C1F"/>
    <w:rsid w:val="003B3A7A"/>
    <w:rsid w:val="003B5A2E"/>
    <w:rsid w:val="003B5C4E"/>
    <w:rsid w:val="003C7ABA"/>
    <w:rsid w:val="003E232A"/>
    <w:rsid w:val="00403AB8"/>
    <w:rsid w:val="00413CA2"/>
    <w:rsid w:val="00414AED"/>
    <w:rsid w:val="00415992"/>
    <w:rsid w:val="0042216B"/>
    <w:rsid w:val="004519B5"/>
    <w:rsid w:val="004551D2"/>
    <w:rsid w:val="00456C17"/>
    <w:rsid w:val="004662A2"/>
    <w:rsid w:val="00470A18"/>
    <w:rsid w:val="0048084C"/>
    <w:rsid w:val="00486BC5"/>
    <w:rsid w:val="004967BE"/>
    <w:rsid w:val="004A3D8B"/>
    <w:rsid w:val="004A4EB3"/>
    <w:rsid w:val="004B026F"/>
    <w:rsid w:val="004B0B10"/>
    <w:rsid w:val="004B7FD0"/>
    <w:rsid w:val="004C71CB"/>
    <w:rsid w:val="004D0A7B"/>
    <w:rsid w:val="004D0E82"/>
    <w:rsid w:val="004D1E29"/>
    <w:rsid w:val="004D6DE9"/>
    <w:rsid w:val="004E242F"/>
    <w:rsid w:val="004F3AF4"/>
    <w:rsid w:val="004F5E05"/>
    <w:rsid w:val="004F6504"/>
    <w:rsid w:val="005011D2"/>
    <w:rsid w:val="00501C05"/>
    <w:rsid w:val="005037F6"/>
    <w:rsid w:val="005139BE"/>
    <w:rsid w:val="00527A2A"/>
    <w:rsid w:val="00532B21"/>
    <w:rsid w:val="0053667B"/>
    <w:rsid w:val="00537B60"/>
    <w:rsid w:val="005475F5"/>
    <w:rsid w:val="00554DBA"/>
    <w:rsid w:val="0055614D"/>
    <w:rsid w:val="00556FF0"/>
    <w:rsid w:val="00561AD9"/>
    <w:rsid w:val="00561B8A"/>
    <w:rsid w:val="00567DD4"/>
    <w:rsid w:val="005714D5"/>
    <w:rsid w:val="005744CA"/>
    <w:rsid w:val="00581C4A"/>
    <w:rsid w:val="00584A2B"/>
    <w:rsid w:val="00586281"/>
    <w:rsid w:val="00587D70"/>
    <w:rsid w:val="005A37C8"/>
    <w:rsid w:val="005A5547"/>
    <w:rsid w:val="005A7084"/>
    <w:rsid w:val="005B3450"/>
    <w:rsid w:val="005C2B7A"/>
    <w:rsid w:val="005D3255"/>
    <w:rsid w:val="005D64C1"/>
    <w:rsid w:val="005E1795"/>
    <w:rsid w:val="0060494E"/>
    <w:rsid w:val="0060593D"/>
    <w:rsid w:val="006111BE"/>
    <w:rsid w:val="00617719"/>
    <w:rsid w:val="006235E4"/>
    <w:rsid w:val="00624A58"/>
    <w:rsid w:val="006253BD"/>
    <w:rsid w:val="00631A72"/>
    <w:rsid w:val="00644197"/>
    <w:rsid w:val="00644C3E"/>
    <w:rsid w:val="00647B56"/>
    <w:rsid w:val="0066611B"/>
    <w:rsid w:val="006679EB"/>
    <w:rsid w:val="006717CE"/>
    <w:rsid w:val="00671F54"/>
    <w:rsid w:val="006725A6"/>
    <w:rsid w:val="0067613D"/>
    <w:rsid w:val="00676874"/>
    <w:rsid w:val="006768C9"/>
    <w:rsid w:val="0069253A"/>
    <w:rsid w:val="00694611"/>
    <w:rsid w:val="006A13C4"/>
    <w:rsid w:val="006A6B94"/>
    <w:rsid w:val="006C25E4"/>
    <w:rsid w:val="006C779D"/>
    <w:rsid w:val="006D3CC7"/>
    <w:rsid w:val="006D4002"/>
    <w:rsid w:val="006E4B4E"/>
    <w:rsid w:val="006F2FDB"/>
    <w:rsid w:val="006F653B"/>
    <w:rsid w:val="007045CE"/>
    <w:rsid w:val="00707DAF"/>
    <w:rsid w:val="00720962"/>
    <w:rsid w:val="00730852"/>
    <w:rsid w:val="00731C19"/>
    <w:rsid w:val="0074576E"/>
    <w:rsid w:val="007674A6"/>
    <w:rsid w:val="0077540C"/>
    <w:rsid w:val="0078109C"/>
    <w:rsid w:val="007814FD"/>
    <w:rsid w:val="007819B8"/>
    <w:rsid w:val="00786D4A"/>
    <w:rsid w:val="007933AA"/>
    <w:rsid w:val="00795719"/>
    <w:rsid w:val="007A1D48"/>
    <w:rsid w:val="007B6E62"/>
    <w:rsid w:val="007C49ED"/>
    <w:rsid w:val="007D51DE"/>
    <w:rsid w:val="007E2D56"/>
    <w:rsid w:val="007E688B"/>
    <w:rsid w:val="007F2FD2"/>
    <w:rsid w:val="008019B1"/>
    <w:rsid w:val="00807557"/>
    <w:rsid w:val="00812130"/>
    <w:rsid w:val="00813AC1"/>
    <w:rsid w:val="008156A9"/>
    <w:rsid w:val="0082467B"/>
    <w:rsid w:val="0083304C"/>
    <w:rsid w:val="00856AE0"/>
    <w:rsid w:val="0087024E"/>
    <w:rsid w:val="00877529"/>
    <w:rsid w:val="00882429"/>
    <w:rsid w:val="0089127F"/>
    <w:rsid w:val="0089313E"/>
    <w:rsid w:val="008938D3"/>
    <w:rsid w:val="00893A90"/>
    <w:rsid w:val="008A090E"/>
    <w:rsid w:val="008A7377"/>
    <w:rsid w:val="008C394D"/>
    <w:rsid w:val="008D45CD"/>
    <w:rsid w:val="008E4070"/>
    <w:rsid w:val="008F0DBD"/>
    <w:rsid w:val="008F4550"/>
    <w:rsid w:val="009004CC"/>
    <w:rsid w:val="00900A5F"/>
    <w:rsid w:val="00903E54"/>
    <w:rsid w:val="00905F54"/>
    <w:rsid w:val="00913C6F"/>
    <w:rsid w:val="0093710B"/>
    <w:rsid w:val="00943681"/>
    <w:rsid w:val="009603D3"/>
    <w:rsid w:val="0096157F"/>
    <w:rsid w:val="00965A54"/>
    <w:rsid w:val="009662DA"/>
    <w:rsid w:val="00970CD7"/>
    <w:rsid w:val="00981062"/>
    <w:rsid w:val="009820D3"/>
    <w:rsid w:val="009917F5"/>
    <w:rsid w:val="00996D76"/>
    <w:rsid w:val="009A30E9"/>
    <w:rsid w:val="009B0ED1"/>
    <w:rsid w:val="009B21A4"/>
    <w:rsid w:val="009C2BB9"/>
    <w:rsid w:val="009D060C"/>
    <w:rsid w:val="009D7D32"/>
    <w:rsid w:val="009D7F0C"/>
    <w:rsid w:val="009F1172"/>
    <w:rsid w:val="009F4C5D"/>
    <w:rsid w:val="009F6351"/>
    <w:rsid w:val="00A052B4"/>
    <w:rsid w:val="00A11EA5"/>
    <w:rsid w:val="00A16F89"/>
    <w:rsid w:val="00A312E9"/>
    <w:rsid w:val="00A57542"/>
    <w:rsid w:val="00A6467D"/>
    <w:rsid w:val="00A64CCA"/>
    <w:rsid w:val="00A722FA"/>
    <w:rsid w:val="00A728EA"/>
    <w:rsid w:val="00A800E7"/>
    <w:rsid w:val="00A84C05"/>
    <w:rsid w:val="00A92EE4"/>
    <w:rsid w:val="00AB00E1"/>
    <w:rsid w:val="00AC538A"/>
    <w:rsid w:val="00AF209B"/>
    <w:rsid w:val="00AF7DE9"/>
    <w:rsid w:val="00B018F7"/>
    <w:rsid w:val="00B02BB4"/>
    <w:rsid w:val="00B04D9D"/>
    <w:rsid w:val="00B16811"/>
    <w:rsid w:val="00B171AA"/>
    <w:rsid w:val="00B25258"/>
    <w:rsid w:val="00B34BDD"/>
    <w:rsid w:val="00B43FE6"/>
    <w:rsid w:val="00B44B1E"/>
    <w:rsid w:val="00B44DA4"/>
    <w:rsid w:val="00B536DF"/>
    <w:rsid w:val="00B5483C"/>
    <w:rsid w:val="00B61AF6"/>
    <w:rsid w:val="00B61DBF"/>
    <w:rsid w:val="00B624F3"/>
    <w:rsid w:val="00B70BD9"/>
    <w:rsid w:val="00B83A14"/>
    <w:rsid w:val="00B87836"/>
    <w:rsid w:val="00B94522"/>
    <w:rsid w:val="00BA425C"/>
    <w:rsid w:val="00BB48E6"/>
    <w:rsid w:val="00BC0FBB"/>
    <w:rsid w:val="00BC46F7"/>
    <w:rsid w:val="00BD3489"/>
    <w:rsid w:val="00BD602A"/>
    <w:rsid w:val="00BE441F"/>
    <w:rsid w:val="00C0444F"/>
    <w:rsid w:val="00C1436A"/>
    <w:rsid w:val="00C14845"/>
    <w:rsid w:val="00C1595E"/>
    <w:rsid w:val="00C24093"/>
    <w:rsid w:val="00C32631"/>
    <w:rsid w:val="00C42FAA"/>
    <w:rsid w:val="00C46900"/>
    <w:rsid w:val="00C50048"/>
    <w:rsid w:val="00C525BF"/>
    <w:rsid w:val="00C56F34"/>
    <w:rsid w:val="00C977FD"/>
    <w:rsid w:val="00CA14DA"/>
    <w:rsid w:val="00CB1B56"/>
    <w:rsid w:val="00CB2FDF"/>
    <w:rsid w:val="00CD7E1E"/>
    <w:rsid w:val="00D014F5"/>
    <w:rsid w:val="00D0151D"/>
    <w:rsid w:val="00D0605A"/>
    <w:rsid w:val="00D16FAD"/>
    <w:rsid w:val="00D2773D"/>
    <w:rsid w:val="00D36E23"/>
    <w:rsid w:val="00D37663"/>
    <w:rsid w:val="00D61307"/>
    <w:rsid w:val="00D6459C"/>
    <w:rsid w:val="00D82440"/>
    <w:rsid w:val="00D8466A"/>
    <w:rsid w:val="00D85216"/>
    <w:rsid w:val="00D9029B"/>
    <w:rsid w:val="00D95085"/>
    <w:rsid w:val="00D96264"/>
    <w:rsid w:val="00DA3390"/>
    <w:rsid w:val="00DA3FF3"/>
    <w:rsid w:val="00DA708E"/>
    <w:rsid w:val="00DB1244"/>
    <w:rsid w:val="00DB584D"/>
    <w:rsid w:val="00DB7626"/>
    <w:rsid w:val="00DE0B27"/>
    <w:rsid w:val="00DE1E6E"/>
    <w:rsid w:val="00DE2762"/>
    <w:rsid w:val="00DE5275"/>
    <w:rsid w:val="00DE62E4"/>
    <w:rsid w:val="00DE6B0A"/>
    <w:rsid w:val="00DF1AC4"/>
    <w:rsid w:val="00DF4DC9"/>
    <w:rsid w:val="00DF770F"/>
    <w:rsid w:val="00E00849"/>
    <w:rsid w:val="00E01DAC"/>
    <w:rsid w:val="00E02F46"/>
    <w:rsid w:val="00E103A7"/>
    <w:rsid w:val="00E168D1"/>
    <w:rsid w:val="00E16D4F"/>
    <w:rsid w:val="00E20E0D"/>
    <w:rsid w:val="00E248A7"/>
    <w:rsid w:val="00E24B6A"/>
    <w:rsid w:val="00E31334"/>
    <w:rsid w:val="00E33CCA"/>
    <w:rsid w:val="00E342B1"/>
    <w:rsid w:val="00E4483E"/>
    <w:rsid w:val="00E47E6C"/>
    <w:rsid w:val="00E53F5B"/>
    <w:rsid w:val="00E55C6A"/>
    <w:rsid w:val="00E67662"/>
    <w:rsid w:val="00E77462"/>
    <w:rsid w:val="00E80C37"/>
    <w:rsid w:val="00EA2F12"/>
    <w:rsid w:val="00EA7876"/>
    <w:rsid w:val="00ED1CA6"/>
    <w:rsid w:val="00ED210F"/>
    <w:rsid w:val="00EF2BC1"/>
    <w:rsid w:val="00EF52D9"/>
    <w:rsid w:val="00F02888"/>
    <w:rsid w:val="00F06D50"/>
    <w:rsid w:val="00F16526"/>
    <w:rsid w:val="00F20F64"/>
    <w:rsid w:val="00F22473"/>
    <w:rsid w:val="00F241F0"/>
    <w:rsid w:val="00F276DA"/>
    <w:rsid w:val="00F31141"/>
    <w:rsid w:val="00F34B69"/>
    <w:rsid w:val="00F4348D"/>
    <w:rsid w:val="00F47561"/>
    <w:rsid w:val="00F51646"/>
    <w:rsid w:val="00F549C6"/>
    <w:rsid w:val="00F573F7"/>
    <w:rsid w:val="00F649A5"/>
    <w:rsid w:val="00F64A9F"/>
    <w:rsid w:val="00F74D18"/>
    <w:rsid w:val="00F943A8"/>
    <w:rsid w:val="00FA5DF4"/>
    <w:rsid w:val="00FB71C9"/>
    <w:rsid w:val="00FC29D2"/>
    <w:rsid w:val="00FC72C4"/>
    <w:rsid w:val="00FE17B1"/>
    <w:rsid w:val="00FE2B6A"/>
  </w:rsids>
  <m:mathPr>
    <m:mathFont m:val="Cambria Math"/>
    <m:brkBin m:val="before"/>
    <m:brkBinSub m:val="--"/>
    <m:smallFrac m:val="0"/>
    <m:dispDef m:val="0"/>
    <m:lMargin m:val="0"/>
    <m:rMargin m:val="0"/>
    <m:defJc m:val="centerGroup"/>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5C6497"/>
  <w15:docId w15:val="{448DA08A-E899-45A9-8FCF-F8DFA877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0" w:qFormat="1"/>
    <w:lsdException w:name="Intense Quote" w:uiPriority="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486"/>
    <w:pPr>
      <w:spacing w:after="200"/>
    </w:pPr>
    <w:rPr>
      <w:sz w:val="24"/>
      <w:szCs w:val="24"/>
      <w:lang w:eastAsia="en-US"/>
    </w:rPr>
  </w:style>
  <w:style w:type="paragraph" w:styleId="Ttulo1">
    <w:name w:val="heading 1"/>
    <w:basedOn w:val="Normal"/>
    <w:next w:val="Normal"/>
    <w:link w:val="Ttulo1Char"/>
    <w:qFormat/>
    <w:rsid w:val="00996D76"/>
    <w:pPr>
      <w:keepNext/>
      <w:spacing w:before="240" w:after="60"/>
      <w:outlineLvl w:val="0"/>
    </w:pPr>
    <w:rPr>
      <w:rFonts w:eastAsia="Times New Roman"/>
      <w:b/>
      <w:bCs/>
      <w:kern w:val="32"/>
      <w:sz w:val="32"/>
      <w:szCs w:val="32"/>
    </w:rPr>
  </w:style>
  <w:style w:type="paragraph" w:styleId="Ttulo2">
    <w:name w:val="heading 2"/>
    <w:basedOn w:val="Normal"/>
    <w:next w:val="Normal"/>
    <w:link w:val="Ttulo2Char"/>
    <w:qFormat/>
    <w:rsid w:val="00342A5B"/>
    <w:pPr>
      <w:pBdr>
        <w:top w:val="single" w:sz="24" w:space="0" w:color="DBE5F1"/>
        <w:left w:val="single" w:sz="24" w:space="0" w:color="DBE5F1"/>
        <w:bottom w:val="single" w:sz="24" w:space="0" w:color="DBE5F1"/>
        <w:right w:val="single" w:sz="24" w:space="0" w:color="DBE5F1"/>
      </w:pBdr>
      <w:shd w:val="clear" w:color="auto" w:fill="DBE5F1"/>
      <w:spacing w:after="0"/>
      <w:jc w:val="both"/>
      <w:outlineLvl w:val="1"/>
    </w:pPr>
    <w:rPr>
      <w:rFonts w:ascii="Arial" w:eastAsia="Times New Roman" w:hAnsi="Arial"/>
      <w:caps/>
      <w:spacing w:val="15"/>
      <w:sz w:val="22"/>
      <w:szCs w:val="22"/>
    </w:rPr>
  </w:style>
  <w:style w:type="paragraph" w:styleId="Ttulo3">
    <w:name w:val="heading 3"/>
    <w:basedOn w:val="Normal"/>
    <w:next w:val="Normal"/>
    <w:link w:val="Ttulo3Char"/>
    <w:qFormat/>
    <w:rsid w:val="00342A5B"/>
    <w:pPr>
      <w:pBdr>
        <w:top w:val="single" w:sz="6" w:space="2" w:color="4F81BD"/>
        <w:left w:val="single" w:sz="6" w:space="2" w:color="4F81BD"/>
      </w:pBdr>
      <w:spacing w:before="300" w:after="0"/>
      <w:jc w:val="both"/>
      <w:outlineLvl w:val="2"/>
    </w:pPr>
    <w:rPr>
      <w:rFonts w:ascii="Arial" w:eastAsia="Times New Roman" w:hAnsi="Arial"/>
      <w:caps/>
      <w:color w:val="243F60"/>
      <w:spacing w:val="15"/>
      <w:sz w:val="22"/>
      <w:szCs w:val="22"/>
    </w:rPr>
  </w:style>
  <w:style w:type="paragraph" w:styleId="Ttulo4">
    <w:name w:val="heading 4"/>
    <w:basedOn w:val="Normal"/>
    <w:next w:val="Normal"/>
    <w:link w:val="Ttulo4Char"/>
    <w:qFormat/>
    <w:rsid w:val="00342A5B"/>
    <w:pPr>
      <w:pBdr>
        <w:top w:val="dotted" w:sz="6" w:space="2" w:color="4F81BD"/>
        <w:left w:val="dotted" w:sz="6" w:space="2" w:color="4F81BD"/>
      </w:pBdr>
      <w:spacing w:before="300" w:after="0"/>
      <w:jc w:val="both"/>
      <w:outlineLvl w:val="3"/>
    </w:pPr>
    <w:rPr>
      <w:rFonts w:ascii="Arial" w:eastAsia="Times New Roman" w:hAnsi="Arial"/>
      <w:caps/>
      <w:color w:val="365F91"/>
      <w:spacing w:val="10"/>
      <w:sz w:val="22"/>
      <w:szCs w:val="22"/>
    </w:rPr>
  </w:style>
  <w:style w:type="paragraph" w:styleId="Ttulo5">
    <w:name w:val="heading 5"/>
    <w:basedOn w:val="Normal"/>
    <w:next w:val="Normal"/>
    <w:link w:val="Ttulo5Char"/>
    <w:qFormat/>
    <w:rsid w:val="00342A5B"/>
    <w:pPr>
      <w:pBdr>
        <w:bottom w:val="single" w:sz="6" w:space="1" w:color="4F81BD"/>
      </w:pBdr>
      <w:spacing w:before="300" w:after="0"/>
      <w:jc w:val="both"/>
      <w:outlineLvl w:val="4"/>
    </w:pPr>
    <w:rPr>
      <w:rFonts w:ascii="Arial" w:eastAsia="Times New Roman" w:hAnsi="Arial"/>
      <w:caps/>
      <w:color w:val="365F91"/>
      <w:spacing w:val="10"/>
      <w:sz w:val="22"/>
      <w:szCs w:val="22"/>
    </w:rPr>
  </w:style>
  <w:style w:type="paragraph" w:styleId="Ttulo6">
    <w:name w:val="heading 6"/>
    <w:basedOn w:val="Normal"/>
    <w:next w:val="Normal"/>
    <w:link w:val="Ttulo6Char"/>
    <w:qFormat/>
    <w:rsid w:val="00342A5B"/>
    <w:pPr>
      <w:pBdr>
        <w:bottom w:val="dotted" w:sz="6" w:space="1" w:color="4F81BD"/>
      </w:pBdr>
      <w:spacing w:before="300" w:after="0"/>
      <w:jc w:val="both"/>
      <w:outlineLvl w:val="5"/>
    </w:pPr>
    <w:rPr>
      <w:rFonts w:ascii="Arial" w:eastAsia="Times New Roman" w:hAnsi="Arial"/>
      <w:caps/>
      <w:color w:val="365F91"/>
      <w:spacing w:val="10"/>
      <w:sz w:val="22"/>
      <w:szCs w:val="22"/>
    </w:rPr>
  </w:style>
  <w:style w:type="paragraph" w:styleId="Ttulo7">
    <w:name w:val="heading 7"/>
    <w:basedOn w:val="Normal"/>
    <w:next w:val="Normal"/>
    <w:link w:val="Ttulo7Char"/>
    <w:qFormat/>
    <w:rsid w:val="00342A5B"/>
    <w:pPr>
      <w:spacing w:before="300" w:after="0"/>
      <w:jc w:val="both"/>
      <w:outlineLvl w:val="6"/>
    </w:pPr>
    <w:rPr>
      <w:rFonts w:ascii="Arial" w:eastAsia="Times New Roman" w:hAnsi="Arial"/>
      <w:caps/>
      <w:color w:val="365F91"/>
      <w:spacing w:val="10"/>
      <w:sz w:val="22"/>
      <w:szCs w:val="22"/>
    </w:rPr>
  </w:style>
  <w:style w:type="paragraph" w:styleId="Ttulo8">
    <w:name w:val="heading 8"/>
    <w:basedOn w:val="Normal"/>
    <w:next w:val="Normal"/>
    <w:link w:val="Ttulo8Char"/>
    <w:qFormat/>
    <w:rsid w:val="00342A5B"/>
    <w:pPr>
      <w:spacing w:before="300" w:after="0"/>
      <w:jc w:val="both"/>
      <w:outlineLvl w:val="7"/>
    </w:pPr>
    <w:rPr>
      <w:rFonts w:ascii="Arial" w:eastAsia="Times New Roman" w:hAnsi="Arial"/>
      <w:caps/>
      <w:spacing w:val="10"/>
      <w:sz w:val="18"/>
      <w:szCs w:val="18"/>
    </w:rPr>
  </w:style>
  <w:style w:type="paragraph" w:styleId="Ttulo9">
    <w:name w:val="heading 9"/>
    <w:basedOn w:val="Normal"/>
    <w:next w:val="Normal"/>
    <w:link w:val="Ttulo9Char"/>
    <w:qFormat/>
    <w:rsid w:val="00342A5B"/>
    <w:pPr>
      <w:spacing w:before="300" w:after="0"/>
      <w:jc w:val="both"/>
      <w:outlineLvl w:val="8"/>
    </w:pPr>
    <w:rPr>
      <w:rFonts w:ascii="Arial" w:eastAsia="Times New Roman" w:hAnsi="Arial"/>
      <w:i/>
      <w:caps/>
      <w:spacing w:val="10"/>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996D76"/>
    <w:rPr>
      <w:rFonts w:ascii="Cambria" w:eastAsia="Times New Roman" w:hAnsi="Cambria" w:cs="Times New Roman"/>
      <w:b/>
      <w:bCs/>
      <w:kern w:val="32"/>
      <w:sz w:val="32"/>
      <w:szCs w:val="32"/>
      <w:lang w:eastAsia="en-US"/>
    </w:rPr>
  </w:style>
  <w:style w:type="character" w:customStyle="1" w:styleId="Ttulo2Char">
    <w:name w:val="Título 2 Char"/>
    <w:link w:val="Ttulo2"/>
    <w:rsid w:val="00342A5B"/>
    <w:rPr>
      <w:rFonts w:ascii="Arial" w:eastAsia="Times New Roman" w:hAnsi="Arial" w:cs="Arial"/>
      <w:caps/>
      <w:spacing w:val="15"/>
      <w:sz w:val="22"/>
      <w:szCs w:val="22"/>
      <w:shd w:val="clear" w:color="auto" w:fill="DBE5F1"/>
    </w:rPr>
  </w:style>
  <w:style w:type="character" w:customStyle="1" w:styleId="Ttulo3Char">
    <w:name w:val="Título 3 Char"/>
    <w:link w:val="Ttulo3"/>
    <w:rsid w:val="00342A5B"/>
    <w:rPr>
      <w:rFonts w:ascii="Arial" w:eastAsia="Times New Roman" w:hAnsi="Arial" w:cs="Arial"/>
      <w:caps/>
      <w:color w:val="243F60"/>
      <w:spacing w:val="15"/>
      <w:sz w:val="22"/>
      <w:szCs w:val="22"/>
    </w:rPr>
  </w:style>
  <w:style w:type="character" w:customStyle="1" w:styleId="Ttulo4Char">
    <w:name w:val="Título 4 Char"/>
    <w:link w:val="Ttulo4"/>
    <w:rsid w:val="00342A5B"/>
    <w:rPr>
      <w:rFonts w:ascii="Arial" w:eastAsia="Times New Roman" w:hAnsi="Arial" w:cs="Arial"/>
      <w:caps/>
      <w:color w:val="365F91"/>
      <w:spacing w:val="10"/>
      <w:sz w:val="22"/>
      <w:szCs w:val="22"/>
    </w:rPr>
  </w:style>
  <w:style w:type="character" w:customStyle="1" w:styleId="Ttulo5Char">
    <w:name w:val="Título 5 Char"/>
    <w:link w:val="Ttulo5"/>
    <w:rsid w:val="00342A5B"/>
    <w:rPr>
      <w:rFonts w:ascii="Arial" w:eastAsia="Times New Roman" w:hAnsi="Arial" w:cs="Arial"/>
      <w:caps/>
      <w:color w:val="365F91"/>
      <w:spacing w:val="10"/>
      <w:sz w:val="22"/>
      <w:szCs w:val="22"/>
    </w:rPr>
  </w:style>
  <w:style w:type="character" w:customStyle="1" w:styleId="Ttulo6Char">
    <w:name w:val="Título 6 Char"/>
    <w:link w:val="Ttulo6"/>
    <w:rsid w:val="00342A5B"/>
    <w:rPr>
      <w:rFonts w:ascii="Arial" w:eastAsia="Times New Roman" w:hAnsi="Arial" w:cs="Arial"/>
      <w:caps/>
      <w:color w:val="365F91"/>
      <w:spacing w:val="10"/>
      <w:sz w:val="22"/>
      <w:szCs w:val="22"/>
    </w:rPr>
  </w:style>
  <w:style w:type="character" w:customStyle="1" w:styleId="Ttulo7Char">
    <w:name w:val="Título 7 Char"/>
    <w:link w:val="Ttulo7"/>
    <w:rsid w:val="00342A5B"/>
    <w:rPr>
      <w:rFonts w:ascii="Arial" w:eastAsia="Times New Roman" w:hAnsi="Arial" w:cs="Arial"/>
      <w:caps/>
      <w:color w:val="365F91"/>
      <w:spacing w:val="10"/>
      <w:sz w:val="22"/>
      <w:szCs w:val="22"/>
    </w:rPr>
  </w:style>
  <w:style w:type="character" w:customStyle="1" w:styleId="Ttulo8Char">
    <w:name w:val="Título 8 Char"/>
    <w:link w:val="Ttulo8"/>
    <w:rsid w:val="00342A5B"/>
    <w:rPr>
      <w:rFonts w:ascii="Arial" w:eastAsia="Times New Roman" w:hAnsi="Arial" w:cs="Arial"/>
      <w:caps/>
      <w:spacing w:val="10"/>
      <w:sz w:val="18"/>
      <w:szCs w:val="18"/>
    </w:rPr>
  </w:style>
  <w:style w:type="character" w:customStyle="1" w:styleId="Ttulo9Char">
    <w:name w:val="Título 9 Char"/>
    <w:link w:val="Ttulo9"/>
    <w:rsid w:val="00342A5B"/>
    <w:rPr>
      <w:rFonts w:ascii="Arial" w:eastAsia="Times New Roman" w:hAnsi="Arial" w:cs="Arial"/>
      <w:i/>
      <w:caps/>
      <w:spacing w:val="10"/>
      <w:sz w:val="18"/>
      <w:szCs w:val="18"/>
    </w:rPr>
  </w:style>
  <w:style w:type="paragraph" w:styleId="Cabealho">
    <w:name w:val="header"/>
    <w:basedOn w:val="Normal"/>
    <w:link w:val="CabealhoChar"/>
    <w:uiPriority w:val="99"/>
    <w:unhideWhenUsed/>
    <w:rsid w:val="0004548E"/>
    <w:pPr>
      <w:tabs>
        <w:tab w:val="center" w:pos="4320"/>
        <w:tab w:val="right" w:pos="8640"/>
      </w:tabs>
      <w:spacing w:after="0"/>
    </w:pPr>
  </w:style>
  <w:style w:type="character" w:customStyle="1" w:styleId="CabealhoChar">
    <w:name w:val="Cabeçalho Char"/>
    <w:basedOn w:val="Fontepargpadro"/>
    <w:link w:val="Cabealho"/>
    <w:uiPriority w:val="99"/>
    <w:rsid w:val="0004548E"/>
  </w:style>
  <w:style w:type="paragraph" w:styleId="Rodap">
    <w:name w:val="footer"/>
    <w:basedOn w:val="Normal"/>
    <w:link w:val="RodapChar"/>
    <w:uiPriority w:val="99"/>
    <w:unhideWhenUsed/>
    <w:rsid w:val="0004548E"/>
    <w:pPr>
      <w:tabs>
        <w:tab w:val="center" w:pos="4320"/>
        <w:tab w:val="right" w:pos="8640"/>
      </w:tabs>
      <w:spacing w:after="0"/>
    </w:pPr>
  </w:style>
  <w:style w:type="character" w:customStyle="1" w:styleId="RodapChar">
    <w:name w:val="Rodapé Char"/>
    <w:basedOn w:val="Fontepargpadro"/>
    <w:link w:val="Rodap"/>
    <w:uiPriority w:val="99"/>
    <w:rsid w:val="0004548E"/>
  </w:style>
  <w:style w:type="character" w:customStyle="1" w:styleId="apple-style-span">
    <w:name w:val="apple-style-span"/>
    <w:basedOn w:val="Fontepargpadro"/>
    <w:rsid w:val="002869D4"/>
  </w:style>
  <w:style w:type="character" w:styleId="Hyperlink">
    <w:name w:val="Hyperlink"/>
    <w:uiPriority w:val="99"/>
    <w:unhideWhenUsed/>
    <w:rsid w:val="00C50048"/>
    <w:rPr>
      <w:color w:val="0000FF"/>
      <w:u w:val="single"/>
    </w:rPr>
  </w:style>
  <w:style w:type="character" w:customStyle="1" w:styleId="TtuloChar">
    <w:name w:val="Título Char"/>
    <w:link w:val="Ttulo"/>
    <w:rsid w:val="00342A5B"/>
    <w:rPr>
      <w:rFonts w:ascii="Arial" w:eastAsia="Times New Roman" w:hAnsi="Arial" w:cs="Arial"/>
      <w:caps/>
      <w:color w:val="4F81BD"/>
      <w:spacing w:val="10"/>
      <w:kern w:val="28"/>
      <w:sz w:val="52"/>
      <w:szCs w:val="52"/>
    </w:rPr>
  </w:style>
  <w:style w:type="paragraph" w:styleId="Ttulo">
    <w:name w:val="Title"/>
    <w:basedOn w:val="Normal"/>
    <w:next w:val="Normal"/>
    <w:link w:val="TtuloChar"/>
    <w:qFormat/>
    <w:rsid w:val="00342A5B"/>
    <w:pPr>
      <w:spacing w:before="720" w:after="120"/>
      <w:jc w:val="both"/>
    </w:pPr>
    <w:rPr>
      <w:rFonts w:ascii="Arial" w:eastAsia="Times New Roman" w:hAnsi="Arial"/>
      <w:caps/>
      <w:color w:val="4F81BD"/>
      <w:spacing w:val="10"/>
      <w:kern w:val="28"/>
      <w:sz w:val="52"/>
      <w:szCs w:val="52"/>
    </w:rPr>
  </w:style>
  <w:style w:type="character" w:customStyle="1" w:styleId="SubttuloChar">
    <w:name w:val="Subtítulo Char"/>
    <w:link w:val="Subttulo"/>
    <w:rsid w:val="00342A5B"/>
    <w:rPr>
      <w:rFonts w:ascii="Arial" w:eastAsia="Times New Roman" w:hAnsi="Arial" w:cs="Arial"/>
      <w:caps/>
      <w:color w:val="595959"/>
      <w:spacing w:val="10"/>
      <w:sz w:val="24"/>
      <w:szCs w:val="24"/>
    </w:rPr>
  </w:style>
  <w:style w:type="paragraph" w:styleId="Subttulo">
    <w:name w:val="Subtitle"/>
    <w:basedOn w:val="Normal"/>
    <w:next w:val="Normal"/>
    <w:link w:val="SubttuloChar"/>
    <w:qFormat/>
    <w:rsid w:val="00342A5B"/>
    <w:pPr>
      <w:spacing w:after="1000"/>
      <w:jc w:val="both"/>
    </w:pPr>
    <w:rPr>
      <w:rFonts w:ascii="Arial" w:eastAsia="Times New Roman" w:hAnsi="Arial"/>
      <w:caps/>
      <w:color w:val="595959"/>
      <w:spacing w:val="10"/>
    </w:rPr>
  </w:style>
  <w:style w:type="character" w:customStyle="1" w:styleId="CitaoChar">
    <w:name w:val="Citação Char"/>
    <w:link w:val="Citao"/>
    <w:rsid w:val="00342A5B"/>
    <w:rPr>
      <w:rFonts w:ascii="Arial" w:eastAsia="Times New Roman" w:hAnsi="Arial" w:cs="Arial"/>
      <w:i/>
      <w:iCs/>
      <w:szCs w:val="24"/>
    </w:rPr>
  </w:style>
  <w:style w:type="paragraph" w:styleId="Citao">
    <w:name w:val="Quote"/>
    <w:basedOn w:val="Normal"/>
    <w:next w:val="Normal"/>
    <w:link w:val="CitaoChar"/>
    <w:qFormat/>
    <w:rsid w:val="00342A5B"/>
    <w:pPr>
      <w:spacing w:after="120"/>
      <w:jc w:val="both"/>
    </w:pPr>
    <w:rPr>
      <w:rFonts w:ascii="Arial" w:eastAsia="Times New Roman" w:hAnsi="Arial"/>
      <w:i/>
      <w:iCs/>
      <w:sz w:val="20"/>
    </w:rPr>
  </w:style>
  <w:style w:type="character" w:customStyle="1" w:styleId="CitaoIntensaChar">
    <w:name w:val="Citação Intensa Char"/>
    <w:link w:val="CitaoIntensa"/>
    <w:rsid w:val="00342A5B"/>
    <w:rPr>
      <w:rFonts w:ascii="Arial" w:eastAsia="Times New Roman" w:hAnsi="Arial" w:cs="Arial"/>
      <w:i/>
      <w:iCs/>
      <w:color w:val="4F81BD"/>
      <w:szCs w:val="24"/>
    </w:rPr>
  </w:style>
  <w:style w:type="paragraph" w:styleId="CitaoIntensa">
    <w:name w:val="Intense Quote"/>
    <w:basedOn w:val="Normal"/>
    <w:next w:val="Normal"/>
    <w:link w:val="CitaoIntensaChar"/>
    <w:qFormat/>
    <w:rsid w:val="00342A5B"/>
    <w:pPr>
      <w:pBdr>
        <w:top w:val="single" w:sz="4" w:space="10" w:color="4F81BD"/>
        <w:left w:val="single" w:sz="4" w:space="10" w:color="4F81BD"/>
      </w:pBdr>
      <w:spacing w:after="0"/>
      <w:ind w:left="1296" w:right="1152"/>
      <w:jc w:val="both"/>
    </w:pPr>
    <w:rPr>
      <w:rFonts w:ascii="Arial" w:eastAsia="Times New Roman" w:hAnsi="Arial"/>
      <w:i/>
      <w:iCs/>
      <w:color w:val="4F81BD"/>
      <w:sz w:val="20"/>
    </w:rPr>
  </w:style>
  <w:style w:type="paragraph" w:styleId="Legenda">
    <w:name w:val="caption"/>
    <w:basedOn w:val="Normal"/>
    <w:next w:val="Normal"/>
    <w:qFormat/>
    <w:rsid w:val="00342A5B"/>
    <w:pPr>
      <w:spacing w:after="120"/>
      <w:jc w:val="both"/>
    </w:pPr>
    <w:rPr>
      <w:rFonts w:ascii="Arial" w:eastAsia="Times New Roman" w:hAnsi="Arial" w:cs="Arial"/>
      <w:b/>
      <w:bCs/>
      <w:color w:val="365F91"/>
      <w:sz w:val="16"/>
      <w:szCs w:val="16"/>
      <w:lang w:eastAsia="pt-BR"/>
    </w:rPr>
  </w:style>
  <w:style w:type="paragraph" w:customStyle="1" w:styleId="academicotexto">
    <w:name w:val="academico_texto"/>
    <w:basedOn w:val="Normal"/>
    <w:rsid w:val="00342A5B"/>
    <w:pPr>
      <w:spacing w:after="0" w:line="480" w:lineRule="auto"/>
      <w:ind w:firstLine="709"/>
      <w:jc w:val="both"/>
    </w:pPr>
    <w:rPr>
      <w:rFonts w:ascii="Arial" w:eastAsia="Times New Roman" w:hAnsi="Arial"/>
      <w:szCs w:val="20"/>
      <w:lang w:eastAsia="pt-BR"/>
    </w:rPr>
  </w:style>
  <w:style w:type="character" w:customStyle="1" w:styleId="TextodecomentrioChar">
    <w:name w:val="Texto de comentário Char"/>
    <w:link w:val="Textodecomentrio"/>
    <w:uiPriority w:val="99"/>
    <w:semiHidden/>
    <w:rsid w:val="00342A5B"/>
    <w:rPr>
      <w:rFonts w:ascii="Arial" w:eastAsia="Times New Roman" w:hAnsi="Arial" w:cs="Arial"/>
    </w:rPr>
  </w:style>
  <w:style w:type="paragraph" w:styleId="Textodecomentrio">
    <w:name w:val="annotation text"/>
    <w:basedOn w:val="Normal"/>
    <w:link w:val="TextodecomentrioChar"/>
    <w:uiPriority w:val="99"/>
    <w:semiHidden/>
    <w:rsid w:val="00342A5B"/>
    <w:pPr>
      <w:spacing w:after="120"/>
      <w:jc w:val="both"/>
    </w:pPr>
    <w:rPr>
      <w:rFonts w:ascii="Arial" w:eastAsia="Times New Roman" w:hAnsi="Arial"/>
      <w:sz w:val="20"/>
      <w:szCs w:val="20"/>
    </w:rPr>
  </w:style>
  <w:style w:type="character" w:customStyle="1" w:styleId="AssuntodocomentrioChar">
    <w:name w:val="Assunto do comentário Char"/>
    <w:link w:val="Assuntodocomentrio"/>
    <w:uiPriority w:val="99"/>
    <w:semiHidden/>
    <w:rsid w:val="00342A5B"/>
    <w:rPr>
      <w:rFonts w:ascii="Arial" w:eastAsia="Times New Roman" w:hAnsi="Arial" w:cs="Arial"/>
      <w:b/>
      <w:bCs/>
    </w:rPr>
  </w:style>
  <w:style w:type="paragraph" w:styleId="Assuntodocomentrio">
    <w:name w:val="annotation subject"/>
    <w:basedOn w:val="Textodecomentrio"/>
    <w:next w:val="Textodecomentrio"/>
    <w:link w:val="AssuntodocomentrioChar"/>
    <w:uiPriority w:val="99"/>
    <w:semiHidden/>
    <w:rsid w:val="00342A5B"/>
    <w:rPr>
      <w:b/>
      <w:bCs/>
    </w:rPr>
  </w:style>
  <w:style w:type="character" w:customStyle="1" w:styleId="TextodebaloChar">
    <w:name w:val="Texto de balão Char"/>
    <w:link w:val="Textodebalo"/>
    <w:uiPriority w:val="99"/>
    <w:semiHidden/>
    <w:rsid w:val="00342A5B"/>
    <w:rPr>
      <w:rFonts w:ascii="Tahoma" w:eastAsia="Times New Roman" w:hAnsi="Tahoma" w:cs="Tahoma"/>
      <w:sz w:val="16"/>
      <w:szCs w:val="16"/>
    </w:rPr>
  </w:style>
  <w:style w:type="paragraph" w:styleId="Textodebalo">
    <w:name w:val="Balloon Text"/>
    <w:basedOn w:val="Normal"/>
    <w:link w:val="TextodebaloChar"/>
    <w:uiPriority w:val="99"/>
    <w:semiHidden/>
    <w:rsid w:val="00342A5B"/>
    <w:pPr>
      <w:spacing w:after="120"/>
      <w:jc w:val="both"/>
    </w:pPr>
    <w:rPr>
      <w:rFonts w:ascii="Tahoma" w:eastAsia="Times New Roman" w:hAnsi="Tahoma"/>
      <w:sz w:val="16"/>
      <w:szCs w:val="16"/>
    </w:rPr>
  </w:style>
  <w:style w:type="paragraph" w:customStyle="1" w:styleId="ecxmsonormal">
    <w:name w:val="ecxmsonormal"/>
    <w:basedOn w:val="Normal"/>
    <w:rsid w:val="00342A5B"/>
    <w:pPr>
      <w:spacing w:after="324"/>
    </w:pPr>
    <w:rPr>
      <w:rFonts w:ascii="Times New Roman" w:eastAsia="Times New Roman" w:hAnsi="Times New Roman"/>
      <w:lang w:eastAsia="pt-BR"/>
    </w:rPr>
  </w:style>
  <w:style w:type="paragraph" w:styleId="Corpodetexto2">
    <w:name w:val="Body Text 2"/>
    <w:basedOn w:val="Normal"/>
    <w:link w:val="Corpodetexto2Char"/>
    <w:rsid w:val="002939DF"/>
    <w:pPr>
      <w:spacing w:after="0" w:line="360" w:lineRule="auto"/>
      <w:jc w:val="both"/>
    </w:pPr>
    <w:rPr>
      <w:rFonts w:ascii="Times New Roman" w:eastAsia="Times New Roman" w:hAnsi="Times New Roman"/>
      <w:color w:val="FF0000"/>
    </w:rPr>
  </w:style>
  <w:style w:type="character" w:customStyle="1" w:styleId="Corpodetexto2Char">
    <w:name w:val="Corpo de texto 2 Char"/>
    <w:link w:val="Corpodetexto2"/>
    <w:rsid w:val="002939DF"/>
    <w:rPr>
      <w:rFonts w:ascii="Times New Roman" w:eastAsia="Times New Roman" w:hAnsi="Times New Roman"/>
      <w:color w:val="FF0000"/>
      <w:sz w:val="24"/>
      <w:szCs w:val="24"/>
    </w:rPr>
  </w:style>
  <w:style w:type="paragraph" w:styleId="Corpodetexto">
    <w:name w:val="Body Text"/>
    <w:basedOn w:val="Normal"/>
    <w:link w:val="CorpodetextoChar"/>
    <w:rsid w:val="002939DF"/>
    <w:pPr>
      <w:spacing w:after="0"/>
      <w:jc w:val="both"/>
    </w:pPr>
    <w:rPr>
      <w:rFonts w:ascii="Times New Roman" w:eastAsia="Times New Roman" w:hAnsi="Times New Roman"/>
    </w:rPr>
  </w:style>
  <w:style w:type="character" w:customStyle="1" w:styleId="CorpodetextoChar">
    <w:name w:val="Corpo de texto Char"/>
    <w:link w:val="Corpodetexto"/>
    <w:rsid w:val="002939DF"/>
    <w:rPr>
      <w:rFonts w:ascii="Times New Roman" w:eastAsia="Times New Roman" w:hAnsi="Times New Roman"/>
      <w:sz w:val="24"/>
      <w:szCs w:val="24"/>
    </w:rPr>
  </w:style>
  <w:style w:type="paragraph" w:styleId="Recuodecorpodetexto3">
    <w:name w:val="Body Text Indent 3"/>
    <w:basedOn w:val="Normal"/>
    <w:link w:val="Recuodecorpodetexto3Char"/>
    <w:rsid w:val="002939DF"/>
    <w:pPr>
      <w:tabs>
        <w:tab w:val="left" w:pos="0"/>
      </w:tabs>
      <w:spacing w:after="0" w:line="360" w:lineRule="auto"/>
      <w:ind w:firstLine="708"/>
      <w:jc w:val="both"/>
    </w:pPr>
    <w:rPr>
      <w:rFonts w:ascii="Times New Roman" w:eastAsia="Times New Roman" w:hAnsi="Times New Roman"/>
      <w:color w:val="000000"/>
    </w:rPr>
  </w:style>
  <w:style w:type="character" w:customStyle="1" w:styleId="Recuodecorpodetexto3Char">
    <w:name w:val="Recuo de corpo de texto 3 Char"/>
    <w:link w:val="Recuodecorpodetexto3"/>
    <w:rsid w:val="002939DF"/>
    <w:rPr>
      <w:rFonts w:ascii="Times New Roman" w:eastAsia="Times New Roman" w:hAnsi="Times New Roman"/>
      <w:color w:val="000000"/>
      <w:sz w:val="24"/>
      <w:szCs w:val="24"/>
    </w:rPr>
  </w:style>
  <w:style w:type="paragraph" w:styleId="Recuodecorpodetexto">
    <w:name w:val="Body Text Indent"/>
    <w:basedOn w:val="Normal"/>
    <w:link w:val="RecuodecorpodetextoChar"/>
    <w:rsid w:val="002939DF"/>
    <w:pPr>
      <w:spacing w:after="0"/>
      <w:ind w:firstLine="709"/>
      <w:jc w:val="both"/>
    </w:pPr>
    <w:rPr>
      <w:rFonts w:ascii="Times New Roman" w:eastAsia="Times New Roman" w:hAnsi="Times New Roman"/>
    </w:rPr>
  </w:style>
  <w:style w:type="character" w:customStyle="1" w:styleId="RecuodecorpodetextoChar">
    <w:name w:val="Recuo de corpo de texto Char"/>
    <w:link w:val="Recuodecorpodetexto"/>
    <w:rsid w:val="002939DF"/>
    <w:rPr>
      <w:rFonts w:ascii="Times New Roman" w:eastAsia="Times New Roman" w:hAnsi="Times New Roman"/>
      <w:sz w:val="24"/>
      <w:szCs w:val="24"/>
    </w:rPr>
  </w:style>
  <w:style w:type="paragraph" w:styleId="Recuodecorpodetexto2">
    <w:name w:val="Body Text Indent 2"/>
    <w:basedOn w:val="Normal"/>
    <w:link w:val="Recuodecorpodetexto2Char"/>
    <w:rsid w:val="002939DF"/>
    <w:pPr>
      <w:spacing w:after="0"/>
      <w:ind w:firstLine="708"/>
      <w:jc w:val="both"/>
    </w:pPr>
    <w:rPr>
      <w:rFonts w:ascii="Times New Roman" w:eastAsia="Times New Roman" w:hAnsi="Times New Roman"/>
      <w:color w:val="FF0000"/>
    </w:rPr>
  </w:style>
  <w:style w:type="character" w:customStyle="1" w:styleId="Recuodecorpodetexto2Char">
    <w:name w:val="Recuo de corpo de texto 2 Char"/>
    <w:link w:val="Recuodecorpodetexto2"/>
    <w:rsid w:val="002939DF"/>
    <w:rPr>
      <w:rFonts w:ascii="Times New Roman" w:eastAsia="Times New Roman" w:hAnsi="Times New Roman"/>
      <w:color w:val="FF0000"/>
      <w:sz w:val="24"/>
      <w:szCs w:val="24"/>
    </w:rPr>
  </w:style>
  <w:style w:type="paragraph" w:customStyle="1" w:styleId="Manual">
    <w:name w:val="Manual"/>
    <w:basedOn w:val="Normal"/>
    <w:rsid w:val="002939DF"/>
    <w:pPr>
      <w:tabs>
        <w:tab w:val="left" w:pos="5529"/>
      </w:tabs>
      <w:spacing w:after="0"/>
      <w:jc w:val="center"/>
    </w:pPr>
    <w:rPr>
      <w:rFonts w:ascii="Futura Lt BT" w:eastAsia="Times New Roman" w:hAnsi="Futura Lt BT"/>
      <w:snapToGrid w:val="0"/>
      <w:color w:val="000000"/>
      <w:sz w:val="28"/>
      <w:szCs w:val="20"/>
      <w:lang w:eastAsia="pt-BR"/>
    </w:rPr>
  </w:style>
  <w:style w:type="paragraph" w:styleId="Corpodetexto3">
    <w:name w:val="Body Text 3"/>
    <w:basedOn w:val="Normal"/>
    <w:link w:val="Corpodetexto3Char"/>
    <w:rsid w:val="002939DF"/>
    <w:pPr>
      <w:spacing w:after="0"/>
      <w:jc w:val="both"/>
    </w:pPr>
    <w:rPr>
      <w:rFonts w:ascii="Times New Roman" w:eastAsia="Times New Roman" w:hAnsi="Times New Roman"/>
      <w:color w:val="000000"/>
    </w:rPr>
  </w:style>
  <w:style w:type="character" w:customStyle="1" w:styleId="Corpodetexto3Char">
    <w:name w:val="Corpo de texto 3 Char"/>
    <w:link w:val="Corpodetexto3"/>
    <w:rsid w:val="002939DF"/>
    <w:rPr>
      <w:rFonts w:ascii="Times New Roman" w:eastAsia="Times New Roman" w:hAnsi="Times New Roman"/>
      <w:color w:val="000000"/>
      <w:sz w:val="24"/>
      <w:szCs w:val="24"/>
    </w:rPr>
  </w:style>
  <w:style w:type="character" w:styleId="MquinadeescreverHTML">
    <w:name w:val="HTML Typewriter"/>
    <w:rsid w:val="002939DF"/>
    <w:rPr>
      <w:rFonts w:ascii="Courier New" w:eastAsia="Times New Roman" w:hAnsi="Courier New" w:cs="Courier New"/>
      <w:sz w:val="20"/>
      <w:szCs w:val="20"/>
    </w:rPr>
  </w:style>
  <w:style w:type="character" w:styleId="Nmerodepgina">
    <w:name w:val="page number"/>
    <w:basedOn w:val="Fontepargpadro"/>
    <w:rsid w:val="002939DF"/>
  </w:style>
  <w:style w:type="character" w:customStyle="1" w:styleId="longtext">
    <w:name w:val="long_text"/>
    <w:basedOn w:val="Fontepargpadro"/>
    <w:rsid w:val="00315FE6"/>
  </w:style>
  <w:style w:type="paragraph" w:styleId="PargrafodaLista">
    <w:name w:val="List Paragraph"/>
    <w:basedOn w:val="Normal"/>
    <w:uiPriority w:val="34"/>
    <w:qFormat/>
    <w:rsid w:val="00315FE6"/>
    <w:pPr>
      <w:spacing w:line="276" w:lineRule="auto"/>
      <w:ind w:left="720"/>
      <w:contextualSpacing/>
    </w:pPr>
    <w:rPr>
      <w:rFonts w:ascii="Calibri" w:eastAsia="Calibri" w:hAnsi="Calibri"/>
      <w:sz w:val="22"/>
      <w:szCs w:val="22"/>
    </w:rPr>
  </w:style>
  <w:style w:type="paragraph" w:customStyle="1" w:styleId="-CORPO">
    <w:name w:val="- CORPO"/>
    <w:basedOn w:val="Normal"/>
    <w:qFormat/>
    <w:rsid w:val="00315FE6"/>
    <w:pPr>
      <w:suppressAutoHyphens/>
      <w:autoSpaceDE w:val="0"/>
      <w:spacing w:after="0" w:line="360" w:lineRule="auto"/>
      <w:ind w:firstLine="1134"/>
      <w:jc w:val="both"/>
    </w:pPr>
    <w:rPr>
      <w:rFonts w:ascii="Times New Roman" w:eastAsia="Times New Roman" w:hAnsi="Times New Roman" w:cs="Arial"/>
      <w:lang w:eastAsia="ar-SA"/>
    </w:rPr>
  </w:style>
  <w:style w:type="character" w:styleId="Refdecomentrio">
    <w:name w:val="annotation reference"/>
    <w:uiPriority w:val="99"/>
    <w:semiHidden/>
    <w:unhideWhenUsed/>
    <w:rsid w:val="00315FE6"/>
    <w:rPr>
      <w:sz w:val="16"/>
      <w:szCs w:val="16"/>
    </w:rPr>
  </w:style>
  <w:style w:type="table" w:styleId="Tabelacomgrade">
    <w:name w:val="Table Grid"/>
    <w:basedOn w:val="Tabelanormal"/>
    <w:uiPriority w:val="59"/>
    <w:rsid w:val="002000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5475F5"/>
  </w:style>
  <w:style w:type="character" w:styleId="HiperlinkVisitado">
    <w:name w:val="FollowedHyperlink"/>
    <w:basedOn w:val="Fontepargpadro"/>
    <w:uiPriority w:val="99"/>
    <w:semiHidden/>
    <w:unhideWhenUsed/>
    <w:rsid w:val="00B34BDD"/>
    <w:rPr>
      <w:color w:val="800080" w:themeColor="followedHyperlink"/>
      <w:u w:val="single"/>
    </w:rPr>
  </w:style>
  <w:style w:type="character" w:styleId="MenoPendente">
    <w:name w:val="Unresolved Mention"/>
    <w:basedOn w:val="Fontepargpadro"/>
    <w:uiPriority w:val="99"/>
    <w:semiHidden/>
    <w:unhideWhenUsed/>
    <w:rsid w:val="000E4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863661">
      <w:bodyDiv w:val="1"/>
      <w:marLeft w:val="0"/>
      <w:marRight w:val="0"/>
      <w:marTop w:val="0"/>
      <w:marBottom w:val="0"/>
      <w:divBdr>
        <w:top w:val="none" w:sz="0" w:space="0" w:color="auto"/>
        <w:left w:val="none" w:sz="0" w:space="0" w:color="auto"/>
        <w:bottom w:val="none" w:sz="0" w:space="0" w:color="auto"/>
        <w:right w:val="none" w:sz="0" w:space="0" w:color="auto"/>
      </w:divBdr>
    </w:div>
    <w:div w:id="821509421">
      <w:bodyDiv w:val="1"/>
      <w:marLeft w:val="0"/>
      <w:marRight w:val="0"/>
      <w:marTop w:val="0"/>
      <w:marBottom w:val="0"/>
      <w:divBdr>
        <w:top w:val="none" w:sz="0" w:space="0" w:color="auto"/>
        <w:left w:val="none" w:sz="0" w:space="0" w:color="auto"/>
        <w:bottom w:val="none" w:sz="0" w:space="0" w:color="auto"/>
        <w:right w:val="none" w:sz="0" w:space="0" w:color="auto"/>
      </w:divBdr>
      <w:divsChild>
        <w:div w:id="136534906">
          <w:marLeft w:val="0"/>
          <w:marRight w:val="0"/>
          <w:marTop w:val="0"/>
          <w:marBottom w:val="0"/>
          <w:divBdr>
            <w:top w:val="none" w:sz="0" w:space="0" w:color="auto"/>
            <w:left w:val="none" w:sz="0" w:space="0" w:color="auto"/>
            <w:bottom w:val="none" w:sz="0" w:space="0" w:color="auto"/>
            <w:right w:val="none" w:sz="0" w:space="0" w:color="auto"/>
          </w:divBdr>
        </w:div>
        <w:div w:id="2054453829">
          <w:marLeft w:val="0"/>
          <w:marRight w:val="0"/>
          <w:marTop w:val="0"/>
          <w:marBottom w:val="0"/>
          <w:divBdr>
            <w:top w:val="none" w:sz="0" w:space="0" w:color="auto"/>
            <w:left w:val="none" w:sz="0" w:space="0" w:color="auto"/>
            <w:bottom w:val="none" w:sz="0" w:space="0" w:color="auto"/>
            <w:right w:val="none" w:sz="0" w:space="0" w:color="auto"/>
          </w:divBdr>
        </w:div>
        <w:div w:id="1200974920">
          <w:marLeft w:val="0"/>
          <w:marRight w:val="0"/>
          <w:marTop w:val="0"/>
          <w:marBottom w:val="0"/>
          <w:divBdr>
            <w:top w:val="none" w:sz="0" w:space="0" w:color="auto"/>
            <w:left w:val="none" w:sz="0" w:space="0" w:color="auto"/>
            <w:bottom w:val="none" w:sz="0" w:space="0" w:color="auto"/>
            <w:right w:val="none" w:sz="0" w:space="0" w:color="auto"/>
          </w:divBdr>
        </w:div>
        <w:div w:id="815296802">
          <w:marLeft w:val="0"/>
          <w:marRight w:val="0"/>
          <w:marTop w:val="0"/>
          <w:marBottom w:val="0"/>
          <w:divBdr>
            <w:top w:val="none" w:sz="0" w:space="0" w:color="auto"/>
            <w:left w:val="none" w:sz="0" w:space="0" w:color="auto"/>
            <w:bottom w:val="none" w:sz="0" w:space="0" w:color="auto"/>
            <w:right w:val="none" w:sz="0" w:space="0" w:color="auto"/>
          </w:divBdr>
        </w:div>
        <w:div w:id="1501506993">
          <w:marLeft w:val="0"/>
          <w:marRight w:val="0"/>
          <w:marTop w:val="0"/>
          <w:marBottom w:val="0"/>
          <w:divBdr>
            <w:top w:val="none" w:sz="0" w:space="0" w:color="auto"/>
            <w:left w:val="none" w:sz="0" w:space="0" w:color="auto"/>
            <w:bottom w:val="none" w:sz="0" w:space="0" w:color="auto"/>
            <w:right w:val="none" w:sz="0" w:space="0" w:color="auto"/>
          </w:divBdr>
        </w:div>
        <w:div w:id="2076732555">
          <w:marLeft w:val="0"/>
          <w:marRight w:val="0"/>
          <w:marTop w:val="0"/>
          <w:marBottom w:val="0"/>
          <w:divBdr>
            <w:top w:val="none" w:sz="0" w:space="0" w:color="auto"/>
            <w:left w:val="none" w:sz="0" w:space="0" w:color="auto"/>
            <w:bottom w:val="none" w:sz="0" w:space="0" w:color="auto"/>
            <w:right w:val="none" w:sz="0" w:space="0" w:color="auto"/>
          </w:divBdr>
        </w:div>
      </w:divsChild>
    </w:div>
    <w:div w:id="197173916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doi.org/10.12712/rpca.v18i3.62566"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felix@fucape.b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ozelia@fucape.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wellyntondiniz@gmail.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24115-6F31-40DD-AE02-E2200AD50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20</Pages>
  <Words>10764</Words>
  <Characters>58130</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68757</CharactersWithSpaces>
  <SharedDoc>false</SharedDoc>
  <HLinks>
    <vt:vector size="24" baseType="variant">
      <vt:variant>
        <vt:i4>7864385</vt:i4>
      </vt:variant>
      <vt:variant>
        <vt:i4>9</vt:i4>
      </vt:variant>
      <vt:variant>
        <vt:i4>0</vt:i4>
      </vt:variant>
      <vt:variant>
        <vt:i4>5</vt:i4>
      </vt:variant>
      <vt:variant>
        <vt:lpwstr>mailto:cabral@ufc.br</vt:lpwstr>
      </vt:variant>
      <vt:variant>
        <vt:lpwstr/>
      </vt:variant>
      <vt:variant>
        <vt:i4>5177383</vt:i4>
      </vt:variant>
      <vt:variant>
        <vt:i4>6</vt:i4>
      </vt:variant>
      <vt:variant>
        <vt:i4>0</vt:i4>
      </vt:variant>
      <vt:variant>
        <vt:i4>5</vt:i4>
      </vt:variant>
      <vt:variant>
        <vt:lpwstr>mailto:julianacidrack@yahoo.com.br</vt:lpwstr>
      </vt:variant>
      <vt:variant>
        <vt:lpwstr/>
      </vt:variant>
      <vt:variant>
        <vt:i4>1245227</vt:i4>
      </vt:variant>
      <vt:variant>
        <vt:i4>3</vt:i4>
      </vt:variant>
      <vt:variant>
        <vt:i4>0</vt:i4>
      </vt:variant>
      <vt:variant>
        <vt:i4>5</vt:i4>
      </vt:variant>
      <vt:variant>
        <vt:lpwstr>mailto:brunoccl@hotmail.com</vt:lpwstr>
      </vt:variant>
      <vt:variant>
        <vt:lpwstr/>
      </vt:variant>
      <vt:variant>
        <vt:i4>1114211</vt:i4>
      </vt:variant>
      <vt:variant>
        <vt:i4>0</vt:i4>
      </vt:variant>
      <vt:variant>
        <vt:i4>0</vt:i4>
      </vt:variant>
      <vt:variant>
        <vt:i4>5</vt:i4>
      </vt:variant>
      <vt:variant>
        <vt:lpwstr>mailto:marcos.a.lima@terra.com.br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 Benevento</dc:creator>
  <cp:lastModifiedBy>Joysi Moraes</cp:lastModifiedBy>
  <cp:revision>208</cp:revision>
  <cp:lastPrinted>2019-03-28T17:30:00Z</cp:lastPrinted>
  <dcterms:created xsi:type="dcterms:W3CDTF">2019-03-12T20:51:00Z</dcterms:created>
  <dcterms:modified xsi:type="dcterms:W3CDTF">2024-10-16T19:01:00Z</dcterms:modified>
</cp:coreProperties>
</file>